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000" w:rsidRDefault="0013738F">
      <w:pPr>
        <w:tabs>
          <w:tab w:val="center" w:pos="7578"/>
        </w:tabs>
        <w:spacing w:after="0" w:line="259" w:lineRule="auto"/>
        <w:ind w:left="0" w:firstLine="0"/>
      </w:pPr>
      <w:r>
        <w:rPr>
          <w:sz w:val="20"/>
        </w:rPr>
        <w:t xml:space="preserve">   </w:t>
      </w:r>
      <w:r w:rsidR="001A69EF">
        <w:rPr>
          <w:noProof/>
        </w:rPr>
        <w:drawing>
          <wp:inline distT="0" distB="0" distL="0" distR="0" wp14:anchorId="4E55729C" wp14:editId="3F1A9C45">
            <wp:extent cx="2457450" cy="130492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2457450" cy="1304925"/>
                    </a:xfrm>
                    <a:prstGeom prst="rect">
                      <a:avLst/>
                    </a:prstGeom>
                  </pic:spPr>
                </pic:pic>
              </a:graphicData>
            </a:graphic>
          </wp:inline>
        </w:drawing>
      </w:r>
      <w:r w:rsidR="001A69EF">
        <w:rPr>
          <w:sz w:val="20"/>
        </w:rPr>
        <w:t xml:space="preserve">                                    </w:t>
      </w:r>
      <w:r w:rsidR="001A69EF">
        <w:rPr>
          <w:sz w:val="20"/>
        </w:rPr>
        <w:tab/>
      </w:r>
      <w:r w:rsidR="001A69EF">
        <w:rPr>
          <w:noProof/>
        </w:rPr>
        <w:drawing>
          <wp:inline distT="0" distB="0" distL="0" distR="0" wp14:anchorId="7AE9D57C" wp14:editId="77AFEEC1">
            <wp:extent cx="1875155" cy="7175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stretch>
                      <a:fillRect/>
                    </a:stretch>
                  </pic:blipFill>
                  <pic:spPr>
                    <a:xfrm>
                      <a:off x="0" y="0"/>
                      <a:ext cx="1875155" cy="717550"/>
                    </a:xfrm>
                    <a:prstGeom prst="rect">
                      <a:avLst/>
                    </a:prstGeom>
                  </pic:spPr>
                </pic:pic>
              </a:graphicData>
            </a:graphic>
          </wp:inline>
        </w:drawing>
      </w:r>
      <w:r w:rsidR="001A69EF">
        <w:rPr>
          <w:sz w:val="20"/>
        </w:rPr>
        <w:t xml:space="preserve"> </w:t>
      </w:r>
    </w:p>
    <w:p w:rsidR="00243000" w:rsidRDefault="001A69EF">
      <w:pPr>
        <w:spacing w:after="160" w:line="259" w:lineRule="auto"/>
        <w:ind w:left="0" w:firstLine="0"/>
      </w:pPr>
      <w:r>
        <w:t xml:space="preserve"> </w:t>
      </w:r>
      <w:r>
        <w:tab/>
        <w:t xml:space="preserve"> </w:t>
      </w:r>
    </w:p>
    <w:p w:rsidR="00243000" w:rsidRDefault="001A69EF" w:rsidP="00297F4E">
      <w:pPr>
        <w:spacing w:after="155" w:line="259" w:lineRule="auto"/>
        <w:ind w:left="0" w:right="4" w:firstLine="0"/>
        <w:jc w:val="center"/>
      </w:pPr>
      <w:r>
        <w:rPr>
          <w:b/>
          <w:color w:val="D60093"/>
          <w:sz w:val="28"/>
        </w:rPr>
        <w:t xml:space="preserve">TRAVEL GRANT GUIDELINES </w:t>
      </w:r>
      <w:r w:rsidR="00CC2BED">
        <w:rPr>
          <w:b/>
          <w:color w:val="D60093"/>
          <w:sz w:val="28"/>
        </w:rPr>
        <w:t>2015</w:t>
      </w:r>
    </w:p>
    <w:p w:rsidR="00243000" w:rsidRDefault="00137B48" w:rsidP="0086797E">
      <w:pPr>
        <w:pStyle w:val="ListParagraph"/>
        <w:numPr>
          <w:ilvl w:val="0"/>
          <w:numId w:val="10"/>
        </w:numPr>
        <w:rPr>
          <w:b/>
        </w:rPr>
      </w:pPr>
      <w:r w:rsidRPr="0086797E">
        <w:rPr>
          <w:b/>
        </w:rPr>
        <w:t>Background</w:t>
      </w:r>
      <w:r w:rsidR="00FF1847" w:rsidRPr="0086797E">
        <w:rPr>
          <w:b/>
        </w:rPr>
        <w:t xml:space="preserve"> </w:t>
      </w:r>
      <w:r w:rsidR="001A69EF" w:rsidRPr="0086797E">
        <w:rPr>
          <w:b/>
        </w:rPr>
        <w:t xml:space="preserve"> </w:t>
      </w:r>
    </w:p>
    <w:p w:rsidR="002128FE" w:rsidRDefault="002128FE" w:rsidP="00A93AD6">
      <w:pPr>
        <w:ind w:left="-15" w:firstLine="0"/>
        <w:jc w:val="both"/>
        <w:rPr>
          <w:szCs w:val="16"/>
        </w:rPr>
      </w:pPr>
      <w:r w:rsidRPr="002128FE">
        <w:rPr>
          <w:szCs w:val="16"/>
        </w:rPr>
        <w:t xml:space="preserve">Tackling global challenges – </w:t>
      </w:r>
      <w:r w:rsidRPr="008C1CC0">
        <w:rPr>
          <w:szCs w:val="16"/>
        </w:rPr>
        <w:t xml:space="preserve">such as extreme weather conditions, urbanisation, access to affordable health care, </w:t>
      </w:r>
      <w:r w:rsidRPr="009E018F">
        <w:rPr>
          <w:szCs w:val="16"/>
        </w:rPr>
        <w:t>food and energy security and meeting the social and economic needs of a growing population – requires an integrated research and innovation approach, bringing together communities from different disciplines, sectors and countries in high-quality collaborations. The Newton Fund aims to build UK-Partner c</w:t>
      </w:r>
      <w:r w:rsidRPr="00AD6802">
        <w:rPr>
          <w:szCs w:val="16"/>
        </w:rPr>
        <w:t xml:space="preserve">ountry research and innovation collaborations centred on these shared research and innovation challenges which have </w:t>
      </w:r>
      <w:r w:rsidRPr="00B31BCD">
        <w:rPr>
          <w:b/>
          <w:szCs w:val="16"/>
        </w:rPr>
        <w:t xml:space="preserve">direct </w:t>
      </w:r>
      <w:r w:rsidRPr="0086797E">
        <w:rPr>
          <w:szCs w:val="16"/>
        </w:rPr>
        <w:t>relevance to our partner countries’ social welfare and economic development.</w:t>
      </w:r>
    </w:p>
    <w:p w:rsidR="008C1CC0" w:rsidRDefault="00DB588E" w:rsidP="00A93AD6">
      <w:pPr>
        <w:ind w:left="-5" w:right="13"/>
        <w:jc w:val="both"/>
      </w:pPr>
      <w:r>
        <w:t xml:space="preserve">This Call for </w:t>
      </w:r>
      <w:r w:rsidR="008C1CC0">
        <w:t xml:space="preserve">Researcher Links </w:t>
      </w:r>
      <w:r w:rsidR="00F60C67">
        <w:t xml:space="preserve">Travel Grants are </w:t>
      </w:r>
      <w:r w:rsidR="008C1CC0">
        <w:t>designed to provide fin</w:t>
      </w:r>
      <w:r>
        <w:t xml:space="preserve">ancial support for </w:t>
      </w:r>
      <w:r w:rsidR="008C1CC0">
        <w:t>early career researchers</w:t>
      </w:r>
      <w:r>
        <w:rPr>
          <w:i/>
        </w:rPr>
        <w:t xml:space="preserve"> </w:t>
      </w:r>
      <w:r w:rsidR="008C1CC0">
        <w:t xml:space="preserve">in </w:t>
      </w:r>
      <w:r w:rsidR="00F60C67">
        <w:t xml:space="preserve">a </w:t>
      </w:r>
      <w:r w:rsidR="00D02101">
        <w:t>Newton Fund</w:t>
      </w:r>
      <w:r w:rsidR="00F60C67">
        <w:t xml:space="preserve"> partner country  </w:t>
      </w:r>
      <w:r w:rsidR="008C1CC0">
        <w:t xml:space="preserve"> to visit an institution </w:t>
      </w:r>
      <w:r w:rsidR="00F60C67">
        <w:t xml:space="preserve">in the UK </w:t>
      </w:r>
      <w:r w:rsidR="008C1CC0">
        <w:t xml:space="preserve">or vice versa.  </w:t>
      </w:r>
    </w:p>
    <w:p w:rsidR="008C1CC0" w:rsidRDefault="008C1CC0" w:rsidP="00A93AD6">
      <w:pPr>
        <w:ind w:left="-5" w:right="13"/>
        <w:jc w:val="both"/>
      </w:pPr>
      <w:r>
        <w:t>The programme is supported by UK government and partner country funding and forms part of the Newton Fund (</w:t>
      </w:r>
      <w:hyperlink r:id="rId11">
        <w:r>
          <w:rPr>
            <w:color w:val="0000FF"/>
            <w:u w:val="single" w:color="0000FF"/>
          </w:rPr>
          <w:t>www.britishcouncil.org/education/science/newton/</w:t>
        </w:r>
      </w:hyperlink>
      <w:hyperlink r:id="rId12">
        <w:r>
          <w:t>)</w:t>
        </w:r>
      </w:hyperlink>
      <w:r>
        <w:t xml:space="preserve">. </w:t>
      </w:r>
    </w:p>
    <w:p w:rsidR="002128FE" w:rsidRPr="0086797E" w:rsidRDefault="002128FE" w:rsidP="00A93AD6">
      <w:pPr>
        <w:ind w:left="0" w:firstLine="0"/>
        <w:jc w:val="both"/>
        <w:rPr>
          <w:b/>
        </w:rPr>
      </w:pPr>
    </w:p>
    <w:p w:rsidR="00FF1847" w:rsidRPr="0086797E" w:rsidRDefault="00FF1847" w:rsidP="00A93AD6">
      <w:pPr>
        <w:pStyle w:val="ListParagraph"/>
        <w:numPr>
          <w:ilvl w:val="0"/>
          <w:numId w:val="10"/>
        </w:numPr>
        <w:jc w:val="both"/>
        <w:rPr>
          <w:b/>
        </w:rPr>
      </w:pPr>
      <w:r w:rsidRPr="0086797E">
        <w:rPr>
          <w:b/>
        </w:rPr>
        <w:t>Overview</w:t>
      </w:r>
      <w:r>
        <w:rPr>
          <w:b/>
        </w:rPr>
        <w:t xml:space="preserve"> of the funding opportunity</w:t>
      </w:r>
    </w:p>
    <w:p w:rsidR="008C1CC0" w:rsidRDefault="008C1CC0" w:rsidP="00A93AD6">
      <w:pPr>
        <w:ind w:left="-5" w:right="13"/>
        <w:jc w:val="both"/>
      </w:pPr>
      <w:r>
        <w:t xml:space="preserve">The aim of Newton Researcher Links Travel Grants is to enhance and strengthen links for future collaboration, build research capacity in developing economies and enhance the researchers’ career opportunities. The call is open to all researchers meeting the requirements listed below, including, but not limited to, participants in Researcher Links workshops (please see Annex 1). </w:t>
      </w:r>
    </w:p>
    <w:p w:rsidR="008C1CC0" w:rsidRDefault="008C1CC0" w:rsidP="00A93AD6">
      <w:pPr>
        <w:ind w:left="-5" w:right="13"/>
        <w:jc w:val="both"/>
      </w:pPr>
      <w:r>
        <w:t xml:space="preserve">The </w:t>
      </w:r>
      <w:r w:rsidR="00F60C67">
        <w:t>permitted</w:t>
      </w:r>
      <w:r>
        <w:t xml:space="preserve"> duration of the visit depends on </w:t>
      </w:r>
      <w:r w:rsidR="00F60C67">
        <w:t xml:space="preserve">the </w:t>
      </w:r>
      <w:r>
        <w:t xml:space="preserve">country of origin and country of destination. Please see Annex 1 for country-specific guidance on this. </w:t>
      </w:r>
    </w:p>
    <w:p w:rsidR="008C1CC0" w:rsidRDefault="008C1CC0" w:rsidP="00A93AD6">
      <w:pPr>
        <w:ind w:left="-5" w:right="13"/>
        <w:jc w:val="both"/>
      </w:pPr>
      <w:r>
        <w:t xml:space="preserve">Proposals </w:t>
      </w:r>
      <w:r w:rsidR="007B52DB">
        <w:t xml:space="preserve">may be for visits for research in </w:t>
      </w:r>
      <w:r>
        <w:t>any discipline</w:t>
      </w:r>
      <w:r w:rsidR="00DB588E">
        <w:t xml:space="preserve"> listed in section 4 below, </w:t>
      </w:r>
      <w:r>
        <w:t>from the natural sciences, social sciences, arts and humanities</w:t>
      </w:r>
      <w:r w:rsidR="00DB588E">
        <w:t>,</w:t>
      </w:r>
      <w:r>
        <w:t xml:space="preserve"> </w:t>
      </w:r>
      <w:r w:rsidR="007B52DB">
        <w:t>unless specified otherwise for individual countries</w:t>
      </w:r>
      <w:r w:rsidR="00DB588E">
        <w:t>.</w:t>
      </w:r>
      <w:r>
        <w:t xml:space="preserve"> </w:t>
      </w:r>
      <w:proofErr w:type="gramStart"/>
      <w:r w:rsidR="00DB588E">
        <w:t>(See A</w:t>
      </w:r>
      <w:r>
        <w:t>nnex 1).</w:t>
      </w:r>
      <w:proofErr w:type="gramEnd"/>
      <w:r>
        <w:t xml:space="preserve"> </w:t>
      </w:r>
    </w:p>
    <w:p w:rsidR="00D02101" w:rsidRDefault="00D02101" w:rsidP="00D02101">
      <w:pPr>
        <w:ind w:left="-5" w:right="70"/>
      </w:pPr>
      <w:r>
        <w:t>In the April 2015 call, we are inviting proposals for Researcher Links Travel Grants for travel to or from the following partner countries and UK</w:t>
      </w:r>
      <w:r w:rsidR="007B52DB">
        <w:t>:</w:t>
      </w:r>
      <w:r>
        <w:t xml:space="preserve">  </w:t>
      </w:r>
    </w:p>
    <w:p w:rsidR="00D02101" w:rsidRDefault="003623BC" w:rsidP="00D02101">
      <w:pPr>
        <w:ind w:left="-5" w:right="70"/>
        <w:rPr>
          <w:b/>
        </w:rPr>
      </w:pPr>
      <w:r>
        <w:rPr>
          <w:b/>
        </w:rPr>
        <w:t>Vietnam</w:t>
      </w:r>
    </w:p>
    <w:p w:rsidR="008C7656" w:rsidRPr="00F8230D" w:rsidRDefault="008C7656" w:rsidP="008C7656">
      <w:pPr>
        <w:ind w:left="-5" w:right="70"/>
      </w:pPr>
      <w:r w:rsidRPr="00F8230D">
        <w:t>Further countries may join the call a little later</w:t>
      </w:r>
    </w:p>
    <w:p w:rsidR="008C7656" w:rsidRPr="00F8230D" w:rsidRDefault="008C7656" w:rsidP="008C7656">
      <w:pPr>
        <w:ind w:left="-5" w:right="70"/>
      </w:pPr>
      <w:r w:rsidRPr="00F8230D">
        <w:t>In South Africa, our South African co-</w:t>
      </w:r>
      <w:proofErr w:type="spellStart"/>
      <w:r w:rsidRPr="00F8230D">
        <w:t>funder</w:t>
      </w:r>
      <w:proofErr w:type="spellEnd"/>
      <w:r w:rsidRPr="00F8230D">
        <w:t xml:space="preserve">, NRF, will be running a separate call. </w:t>
      </w:r>
    </w:p>
    <w:p w:rsidR="008C7656" w:rsidRDefault="008C7656" w:rsidP="008C7656">
      <w:pPr>
        <w:spacing w:after="227"/>
        <w:ind w:left="-5" w:right="70"/>
      </w:pPr>
      <w:r w:rsidRPr="00F8230D">
        <w:t>Subsequent calls for proposals may involve different partner countries.</w:t>
      </w:r>
      <w:r>
        <w:t xml:space="preserve"> </w:t>
      </w:r>
    </w:p>
    <w:p w:rsidR="0086797E" w:rsidRDefault="0086797E" w:rsidP="0017239B">
      <w:pPr>
        <w:pStyle w:val="ListParagraph"/>
        <w:numPr>
          <w:ilvl w:val="0"/>
          <w:numId w:val="10"/>
        </w:numPr>
        <w:rPr>
          <w:b/>
        </w:rPr>
      </w:pPr>
      <w:r w:rsidRPr="00914937">
        <w:rPr>
          <w:b/>
        </w:rPr>
        <w:t>Scope of the Programme</w:t>
      </w:r>
    </w:p>
    <w:p w:rsidR="008C1CC0" w:rsidRDefault="008C1CC0" w:rsidP="00A93AD6">
      <w:pPr>
        <w:ind w:left="-5" w:right="13"/>
        <w:jc w:val="both"/>
      </w:pPr>
      <w:r>
        <w:t>All Newton Researcher Links</w:t>
      </w:r>
      <w:r w:rsidR="00D02101">
        <w:t xml:space="preserve"> </w:t>
      </w:r>
      <w:r>
        <w:t xml:space="preserve">Travel Grants have the following three overarching objectives: </w:t>
      </w:r>
    </w:p>
    <w:p w:rsidR="008C1CC0" w:rsidRDefault="008C1CC0" w:rsidP="00A93AD6">
      <w:pPr>
        <w:numPr>
          <w:ilvl w:val="0"/>
          <w:numId w:val="1"/>
        </w:numPr>
        <w:spacing w:after="1"/>
        <w:ind w:right="13" w:hanging="360"/>
        <w:jc w:val="both"/>
      </w:pPr>
      <w:r>
        <w:rPr>
          <w:b/>
        </w:rPr>
        <w:t>Support international development-relevant research</w:t>
      </w:r>
      <w:r>
        <w:t xml:space="preserve"> –</w:t>
      </w:r>
      <w:r>
        <w:rPr>
          <w:b/>
        </w:rPr>
        <w:t xml:space="preserve"> </w:t>
      </w:r>
      <w:r>
        <w:t xml:space="preserve">Travel Grants are intended to support research areas relevant to the economic development and </w:t>
      </w:r>
      <w:r w:rsidR="00DB588E">
        <w:t xml:space="preserve">social </w:t>
      </w:r>
      <w:r>
        <w:t xml:space="preserve">welfare of partner countries. </w:t>
      </w:r>
    </w:p>
    <w:p w:rsidR="008C1CC0" w:rsidRDefault="008C1CC0" w:rsidP="008C1CC0">
      <w:pPr>
        <w:spacing w:after="0" w:line="259" w:lineRule="auto"/>
        <w:ind w:left="360" w:firstLine="0"/>
      </w:pPr>
      <w:r>
        <w:t xml:space="preserve"> </w:t>
      </w:r>
    </w:p>
    <w:p w:rsidR="008C1CC0" w:rsidRDefault="008C1CC0" w:rsidP="00A93AD6">
      <w:pPr>
        <w:numPr>
          <w:ilvl w:val="0"/>
          <w:numId w:val="1"/>
        </w:numPr>
        <w:spacing w:after="0"/>
        <w:ind w:right="13" w:hanging="360"/>
        <w:jc w:val="both"/>
      </w:pPr>
      <w:r>
        <w:rPr>
          <w:b/>
        </w:rPr>
        <w:t xml:space="preserve">Contribute to capacity building of early career researchers </w:t>
      </w:r>
      <w:r>
        <w:t>– The proposal should include a description of the capacity building potential of the project (both for the individual applicant, and other potential bene</w:t>
      </w:r>
      <w:bookmarkStart w:id="0" w:name="_GoBack"/>
      <w:bookmarkEnd w:id="0"/>
      <w:r>
        <w:t xml:space="preserve">ficiaries), and the longer term impact that the project could achieve. </w:t>
      </w:r>
    </w:p>
    <w:p w:rsidR="008C1CC0" w:rsidRDefault="008C1CC0" w:rsidP="00A93AD6">
      <w:pPr>
        <w:spacing w:after="0" w:line="259" w:lineRule="auto"/>
        <w:ind w:left="360" w:firstLine="0"/>
        <w:jc w:val="both"/>
      </w:pPr>
      <w:r>
        <w:lastRenderedPageBreak/>
        <w:t xml:space="preserve"> </w:t>
      </w:r>
    </w:p>
    <w:p w:rsidR="00D02101" w:rsidRDefault="008C1CC0" w:rsidP="00AC05E1">
      <w:pPr>
        <w:pStyle w:val="ListParagraph"/>
        <w:numPr>
          <w:ilvl w:val="0"/>
          <w:numId w:val="16"/>
        </w:numPr>
        <w:spacing w:after="228"/>
        <w:ind w:right="13"/>
        <w:jc w:val="both"/>
      </w:pPr>
      <w:r w:rsidRPr="00AC05E1">
        <w:rPr>
          <w:b/>
        </w:rPr>
        <w:t>Establish new research links or develop existing links</w:t>
      </w:r>
      <w:r w:rsidR="00D02101" w:rsidRPr="00AC05E1">
        <w:rPr>
          <w:b/>
        </w:rPr>
        <w:t xml:space="preserve"> </w:t>
      </w:r>
      <w:r>
        <w:t xml:space="preserve">– Travel Grants are intended to either support new links, or to </w:t>
      </w:r>
      <w:r w:rsidR="00D02101">
        <w:t xml:space="preserve"> </w:t>
      </w:r>
      <w:r>
        <w:t xml:space="preserve"> develop existing links with the potential for longer term sustainability. Applications to return to the research group where the applicant carried out their PhD research or have previously taught will only be considered if they clearly demonstrate the latter. </w:t>
      </w:r>
    </w:p>
    <w:p w:rsidR="00D02101" w:rsidRDefault="00D02101" w:rsidP="00D02101">
      <w:pPr>
        <w:spacing w:after="228"/>
        <w:ind w:left="0" w:right="13" w:firstLine="0"/>
        <w:jc w:val="both"/>
      </w:pPr>
      <w:r>
        <w:t xml:space="preserve">The proposal should include a clear description of how the individuals and research groups involved intend to sustain their collaboration. There should be an explanation of the benefit to researchers and institutions. Applicants should outline the specific outputs anticipated from the visit. They should also explore any potential longer term benefit that might arise, thinking about who might benefit and how they might benefit and describing the actions that will be taken to ensure that potential impact is realised. </w:t>
      </w:r>
    </w:p>
    <w:p w:rsidR="008C1CC0" w:rsidRPr="0017239B" w:rsidRDefault="008C1CC0" w:rsidP="00A93AD6">
      <w:pPr>
        <w:pStyle w:val="ListParagraph"/>
        <w:numPr>
          <w:ilvl w:val="0"/>
          <w:numId w:val="10"/>
        </w:numPr>
        <w:jc w:val="both"/>
        <w:rPr>
          <w:b/>
        </w:rPr>
      </w:pPr>
      <w:r w:rsidRPr="0017239B">
        <w:rPr>
          <w:b/>
        </w:rPr>
        <w:t xml:space="preserve">Relevance to economic development and social welfare </w:t>
      </w:r>
    </w:p>
    <w:p w:rsidR="008C1CC0" w:rsidRDefault="008C1CC0" w:rsidP="00A93AD6">
      <w:pPr>
        <w:ind w:left="-5" w:right="13"/>
        <w:jc w:val="both"/>
      </w:pPr>
      <w:r>
        <w:t>Researcher Links Travel Grants are intended to support research areas relevant to the de</w:t>
      </w:r>
      <w:r w:rsidR="0017239B">
        <w:t xml:space="preserve">velopment of partner </w:t>
      </w:r>
      <w:proofErr w:type="gramStart"/>
      <w:r w:rsidR="0017239B">
        <w:t>countries .</w:t>
      </w:r>
      <w:proofErr w:type="gramEnd"/>
    </w:p>
    <w:p w:rsidR="007B52DB" w:rsidRDefault="007B52DB" w:rsidP="007B52DB">
      <w:pPr>
        <w:spacing w:after="228"/>
        <w:ind w:left="-5" w:right="13"/>
        <w:jc w:val="both"/>
      </w:pPr>
      <w:r>
        <w:t xml:space="preserve"> For the purpose of the Newton Fund Researcher Links Programme, we define research and innovation with development relevance as activities that have the potential to contribute to the economic development and social welfare of Newton Fund low- and middle-income countries, benefitting poor and vulnerable populations in these countries. In order to be considered for funding under this Programme, all proposals must clearly articulate a plausible pathway to positive impact on these populations within a short- to medium-term timeframe (3-15 years). Applications which do not meet this criterion cannot receive UK Newton funding.  </w:t>
      </w:r>
    </w:p>
    <w:p w:rsidR="007B52DB" w:rsidRDefault="007B52DB" w:rsidP="007B52DB">
      <w:pPr>
        <w:spacing w:after="120" w:line="240" w:lineRule="auto"/>
        <w:ind w:left="-6" w:right="11" w:hanging="11"/>
        <w:jc w:val="both"/>
      </w:pPr>
      <w:r>
        <w:t>Under this Programme, topics can fall into one or more of the following research and innovation challenge areas (unless specified further in Annex 1 for individual countries). Multidisciplinary proposals are welcome, which may include Social Sciences and Arts and Humanities. The challenge areas are as follows:</w:t>
      </w:r>
    </w:p>
    <w:p w:rsidR="007B52DB" w:rsidRDefault="007B52DB" w:rsidP="007B52DB">
      <w:pPr>
        <w:spacing w:after="120" w:line="240" w:lineRule="auto"/>
        <w:ind w:left="-6" w:right="11" w:hanging="11"/>
        <w:jc w:val="both"/>
      </w:pPr>
      <w:r>
        <w:t>•</w:t>
      </w:r>
      <w:r>
        <w:tab/>
        <w:t>Agriculture (e.g. irrigation, crop yields)</w:t>
      </w:r>
    </w:p>
    <w:p w:rsidR="007B52DB" w:rsidRDefault="007B52DB" w:rsidP="007B52DB">
      <w:pPr>
        <w:spacing w:after="120" w:line="240" w:lineRule="auto"/>
        <w:ind w:left="-6" w:right="11" w:hanging="11"/>
        <w:jc w:val="both"/>
      </w:pPr>
      <w:r>
        <w:t>•</w:t>
      </w:r>
      <w:r>
        <w:tab/>
        <w:t>Climate and environment (e.g. climate change, green technology, sustainable development, ecosystem services, resource scarcity)</w:t>
      </w:r>
    </w:p>
    <w:p w:rsidR="007B52DB" w:rsidRDefault="007B52DB" w:rsidP="007B52DB">
      <w:pPr>
        <w:spacing w:after="120" w:line="240" w:lineRule="auto"/>
        <w:ind w:left="-6" w:right="11" w:hanging="11"/>
        <w:jc w:val="both"/>
      </w:pPr>
      <w:r>
        <w:t>•</w:t>
      </w:r>
      <w:r>
        <w:tab/>
        <w:t>Sustainable energy for all</w:t>
      </w:r>
    </w:p>
    <w:p w:rsidR="007B52DB" w:rsidRDefault="007B52DB" w:rsidP="007B52DB">
      <w:pPr>
        <w:spacing w:after="120" w:line="240" w:lineRule="auto"/>
        <w:ind w:left="-6" w:right="11" w:hanging="11"/>
        <w:jc w:val="both"/>
      </w:pPr>
      <w:r>
        <w:t>•</w:t>
      </w:r>
      <w:r>
        <w:tab/>
        <w:t>Education research and innovation for development</w:t>
      </w:r>
    </w:p>
    <w:p w:rsidR="007B52DB" w:rsidRDefault="007B52DB" w:rsidP="007B52DB">
      <w:pPr>
        <w:spacing w:after="120" w:line="240" w:lineRule="auto"/>
        <w:ind w:left="-6" w:right="11" w:hanging="11"/>
        <w:jc w:val="both"/>
      </w:pPr>
      <w:r>
        <w:t>•</w:t>
      </w:r>
      <w:r>
        <w:tab/>
        <w:t>Economic growth (e.g. equitable growth, financial sector development, private sector development)</w:t>
      </w:r>
    </w:p>
    <w:p w:rsidR="007B52DB" w:rsidRDefault="007B52DB" w:rsidP="007B52DB">
      <w:pPr>
        <w:spacing w:after="120" w:line="240" w:lineRule="auto"/>
        <w:ind w:left="-6" w:right="11" w:hanging="11"/>
        <w:jc w:val="both"/>
      </w:pPr>
      <w:r>
        <w:t>•</w:t>
      </w:r>
      <w:r>
        <w:tab/>
        <w:t>Health (e.g. HIV/AIDS, malaria, tuberculosis, neglected tropical diseases, child mortality, maternal health)</w:t>
      </w:r>
    </w:p>
    <w:p w:rsidR="007B52DB" w:rsidRDefault="007B52DB" w:rsidP="007B52DB">
      <w:pPr>
        <w:spacing w:after="120" w:line="240" w:lineRule="auto"/>
        <w:ind w:left="-6" w:right="11" w:hanging="11"/>
        <w:jc w:val="both"/>
      </w:pPr>
      <w:r>
        <w:t>•</w:t>
      </w:r>
      <w:r>
        <w:tab/>
        <w:t>Water and sanitation</w:t>
      </w:r>
    </w:p>
    <w:p w:rsidR="007B52DB" w:rsidRDefault="007B52DB" w:rsidP="007B52DB">
      <w:pPr>
        <w:spacing w:after="120" w:line="240" w:lineRule="auto"/>
        <w:ind w:left="-6" w:right="11" w:hanging="11"/>
        <w:jc w:val="both"/>
      </w:pPr>
      <w:r>
        <w:t>•</w:t>
      </w:r>
      <w:r>
        <w:tab/>
        <w:t>Food and nutrition (including food security)</w:t>
      </w:r>
    </w:p>
    <w:p w:rsidR="007B52DB" w:rsidRDefault="007B52DB" w:rsidP="007B52DB">
      <w:pPr>
        <w:spacing w:after="120" w:line="240" w:lineRule="auto"/>
        <w:ind w:left="-6" w:right="11" w:hanging="11"/>
        <w:jc w:val="both"/>
      </w:pPr>
      <w:r>
        <w:t>•</w:t>
      </w:r>
      <w:r>
        <w:tab/>
        <w:t>Demographic change and migration</w:t>
      </w:r>
    </w:p>
    <w:p w:rsidR="007B52DB" w:rsidRDefault="007B52DB" w:rsidP="007B52DB">
      <w:pPr>
        <w:spacing w:after="120" w:line="240" w:lineRule="auto"/>
        <w:ind w:left="-6" w:right="11" w:hanging="11"/>
        <w:jc w:val="both"/>
      </w:pPr>
      <w:r>
        <w:t>•</w:t>
      </w:r>
      <w:r>
        <w:tab/>
        <w:t>Rural and urban development</w:t>
      </w:r>
    </w:p>
    <w:p w:rsidR="007B52DB" w:rsidRDefault="007B52DB" w:rsidP="007B52DB">
      <w:pPr>
        <w:spacing w:after="120" w:line="240" w:lineRule="auto"/>
        <w:ind w:left="-6" w:right="11" w:hanging="11"/>
        <w:jc w:val="both"/>
      </w:pPr>
      <w:r>
        <w:t>•</w:t>
      </w:r>
      <w:r>
        <w:tab/>
        <w:t>Infrastructure (including civil engineering, information and communication technologies, big data for social and economic development)</w:t>
      </w:r>
    </w:p>
    <w:p w:rsidR="007B52DB" w:rsidRDefault="007B52DB" w:rsidP="007B52DB">
      <w:pPr>
        <w:spacing w:after="120" w:line="240" w:lineRule="auto"/>
        <w:ind w:left="-6" w:right="11" w:hanging="11"/>
        <w:jc w:val="both"/>
      </w:pPr>
      <w:r>
        <w:t>•</w:t>
      </w:r>
      <w:r>
        <w:tab/>
        <w:t>Humanitarian disasters and emergencies, disaster risk reduction</w:t>
      </w:r>
    </w:p>
    <w:p w:rsidR="007B52DB" w:rsidRDefault="007B52DB" w:rsidP="007B52DB">
      <w:pPr>
        <w:spacing w:after="120" w:line="240" w:lineRule="auto"/>
        <w:ind w:left="-6" w:right="11" w:hanging="11"/>
        <w:jc w:val="both"/>
      </w:pPr>
      <w:r>
        <w:t>•</w:t>
      </w:r>
      <w:r>
        <w:tab/>
        <w:t>Resilient and connected communities</w:t>
      </w:r>
    </w:p>
    <w:p w:rsidR="007B52DB" w:rsidRDefault="007B52DB" w:rsidP="007B52DB">
      <w:pPr>
        <w:spacing w:after="120" w:line="240" w:lineRule="auto"/>
        <w:ind w:left="-6" w:right="11" w:hanging="11"/>
        <w:jc w:val="both"/>
      </w:pPr>
      <w:r>
        <w:t>•</w:t>
      </w:r>
      <w:r>
        <w:tab/>
        <w:t>Governance, society and conflict (e.g. transparency, accountability, effective institutions, land and natural resource rights, poverty alleviation, social development, structural inequalities, violence and security, peace building, civil society)</w:t>
      </w:r>
    </w:p>
    <w:p w:rsidR="008C1CC0" w:rsidRDefault="007B52DB" w:rsidP="007B52DB">
      <w:pPr>
        <w:spacing w:after="120" w:line="240" w:lineRule="auto"/>
        <w:ind w:left="-6" w:right="11" w:hanging="11"/>
        <w:jc w:val="both"/>
      </w:pPr>
      <w:r>
        <w:t>•</w:t>
      </w:r>
      <w:r>
        <w:tab/>
        <w:t>Development-relevant data collection, quality and access (including administrative data and macroeconomic statistics).</w:t>
      </w:r>
    </w:p>
    <w:p w:rsidR="008C1CC0" w:rsidRDefault="008C1CC0" w:rsidP="0086797E">
      <w:pPr>
        <w:pStyle w:val="ListParagraph"/>
        <w:ind w:left="345" w:firstLine="0"/>
      </w:pPr>
    </w:p>
    <w:p w:rsidR="00FF1847" w:rsidRPr="0017239B" w:rsidRDefault="00FF1847" w:rsidP="0086797E">
      <w:pPr>
        <w:pStyle w:val="ListParagraph"/>
        <w:numPr>
          <w:ilvl w:val="0"/>
          <w:numId w:val="10"/>
        </w:numPr>
        <w:rPr>
          <w:b/>
        </w:rPr>
      </w:pPr>
      <w:r w:rsidRPr="0017239B">
        <w:rPr>
          <w:b/>
        </w:rPr>
        <w:t>Eligibility</w:t>
      </w:r>
    </w:p>
    <w:p w:rsidR="0017239B" w:rsidRDefault="0017239B" w:rsidP="0086797E">
      <w:pPr>
        <w:pStyle w:val="ListParagraph"/>
        <w:ind w:left="345" w:right="13" w:firstLine="0"/>
      </w:pPr>
    </w:p>
    <w:p w:rsidR="009E018F" w:rsidRDefault="009E018F" w:rsidP="00F14DEE">
      <w:pPr>
        <w:pStyle w:val="ListParagraph"/>
        <w:ind w:left="345" w:right="13" w:firstLine="0"/>
        <w:jc w:val="both"/>
      </w:pPr>
      <w:r>
        <w:t xml:space="preserve">Applicants must be based either in the UK, or in one of the partner countries listed </w:t>
      </w:r>
      <w:r w:rsidR="007B52DB">
        <w:t>above</w:t>
      </w:r>
      <w:r>
        <w:t xml:space="preserve">, and </w:t>
      </w:r>
      <w:r w:rsidR="007B52DB">
        <w:t xml:space="preserve">be </w:t>
      </w:r>
      <w:r>
        <w:t xml:space="preserve">affiliated with a recognised publicly funded research establishment or public or private Higher Education Institution. A supporting letter must be provided to confirm that the applicant will return to his/her home institution in a research capacity for at least six months after the end of the visit.  Applicants can be of any nationality, but they must be able to secure a visa for the country which they plan to visit (please see Annex 1 for exceptions). Travel may only be between the UK and partner country, but can be in either direction. </w:t>
      </w:r>
    </w:p>
    <w:p w:rsidR="009E018F" w:rsidRDefault="009E018F" w:rsidP="00F14DEE">
      <w:pPr>
        <w:pStyle w:val="ListParagraph"/>
        <w:ind w:left="345" w:right="13" w:firstLine="0"/>
        <w:jc w:val="both"/>
      </w:pPr>
    </w:p>
    <w:p w:rsidR="009E018F" w:rsidRDefault="009E018F" w:rsidP="00F14DEE">
      <w:pPr>
        <w:pStyle w:val="ListParagraph"/>
        <w:ind w:left="345" w:right="13" w:firstLine="0"/>
        <w:jc w:val="both"/>
      </w:pPr>
      <w:r>
        <w:t xml:space="preserve">Country-specific guidance on which career stage applicants are expected to be at (i.e. early career researchers versus researchers at any stage of their career) can be found in Annex 1. </w:t>
      </w:r>
    </w:p>
    <w:p w:rsidR="009E018F" w:rsidRDefault="009E018F" w:rsidP="00F14DEE">
      <w:pPr>
        <w:pStyle w:val="ListParagraph"/>
        <w:ind w:left="345" w:right="13" w:firstLine="0"/>
        <w:jc w:val="both"/>
      </w:pPr>
    </w:p>
    <w:p w:rsidR="003623BC" w:rsidRDefault="007B52DB" w:rsidP="00F14DEE">
      <w:pPr>
        <w:pStyle w:val="ListParagraph"/>
        <w:spacing w:after="228"/>
        <w:ind w:left="345" w:right="13" w:firstLine="0"/>
        <w:jc w:val="both"/>
        <w:rPr>
          <w:b/>
        </w:rPr>
      </w:pPr>
      <w:r w:rsidRPr="007B52DB">
        <w:rPr>
          <w:b/>
        </w:rPr>
        <w:t>O</w:t>
      </w:r>
      <w:r w:rsidR="009E018F" w:rsidRPr="009E018F">
        <w:rPr>
          <w:b/>
        </w:rPr>
        <w:t>nly one application may be submitted per researcher.</w:t>
      </w:r>
      <w:r w:rsidR="009E018F">
        <w:t xml:space="preserve"> Duplicate applications will not be eligible, even if they are to different countries. Please note that researchers who </w:t>
      </w:r>
      <w:r>
        <w:t xml:space="preserve">have </w:t>
      </w:r>
      <w:r w:rsidR="009E018F">
        <w:t>received a Researcher Links Travel Grant in previous calls for proposals are not eligible to apply in this current call.</w:t>
      </w:r>
    </w:p>
    <w:p w:rsidR="00513359" w:rsidRDefault="00513359" w:rsidP="00F14DEE">
      <w:pPr>
        <w:pStyle w:val="ListParagraph"/>
        <w:spacing w:after="228"/>
        <w:ind w:left="345" w:right="13" w:firstLine="0"/>
        <w:jc w:val="both"/>
      </w:pPr>
    </w:p>
    <w:p w:rsidR="009E018F" w:rsidRDefault="003623BC" w:rsidP="00513359">
      <w:pPr>
        <w:pStyle w:val="ListParagraph"/>
        <w:spacing w:after="228"/>
        <w:ind w:left="345" w:right="13" w:firstLine="0"/>
        <w:jc w:val="both"/>
      </w:pPr>
      <w:r w:rsidRPr="00AC05E1">
        <w:rPr>
          <w:b/>
        </w:rPr>
        <w:t xml:space="preserve">Travel must take place before 31 March 2016. </w:t>
      </w:r>
    </w:p>
    <w:p w:rsidR="00C67A6B" w:rsidRDefault="00C67A6B" w:rsidP="00C67A6B">
      <w:pPr>
        <w:numPr>
          <w:ilvl w:val="0"/>
          <w:numId w:val="10"/>
        </w:numPr>
        <w:spacing w:after="230"/>
      </w:pPr>
      <w:r>
        <w:rPr>
          <w:b/>
        </w:rPr>
        <w:t xml:space="preserve">Funding </w:t>
      </w:r>
    </w:p>
    <w:p w:rsidR="00C67A6B" w:rsidRDefault="00C67A6B" w:rsidP="00684372">
      <w:pPr>
        <w:ind w:left="-5" w:right="13"/>
        <w:jc w:val="both"/>
      </w:pPr>
      <w:r>
        <w:t xml:space="preserve">Applicants are required to provide a budget request upon submission of their proposal. </w:t>
      </w:r>
    </w:p>
    <w:p w:rsidR="007B52DB" w:rsidRDefault="007B52DB" w:rsidP="007B52DB">
      <w:pPr>
        <w:spacing w:after="0"/>
        <w:ind w:left="-5" w:right="13"/>
        <w:jc w:val="both"/>
      </w:pPr>
      <w:r>
        <w:t>The</w:t>
      </w:r>
      <w:r w:rsidR="00C67A6B">
        <w:t xml:space="preserve"> Travel Grant is calculated using five flat rate budget categories</w:t>
      </w:r>
      <w:r>
        <w:t>:</w:t>
      </w:r>
      <w:r w:rsidR="00B928F1">
        <w:t xml:space="preserve"> </w:t>
      </w:r>
      <w:r w:rsidR="00C67A6B">
        <w:t>Travel, Visa, Insurance, Subsistence,</w:t>
      </w:r>
      <w:r>
        <w:t xml:space="preserve"> Consumables</w:t>
      </w:r>
      <w:r w:rsidR="00C67A6B">
        <w:t xml:space="preserve">.  </w:t>
      </w:r>
    </w:p>
    <w:p w:rsidR="007B52DB" w:rsidRDefault="007B52DB" w:rsidP="007B52DB">
      <w:pPr>
        <w:spacing w:after="0"/>
        <w:ind w:left="-5" w:right="13"/>
        <w:jc w:val="both"/>
      </w:pPr>
    </w:p>
    <w:p w:rsidR="007B52DB" w:rsidRDefault="00C67A6B" w:rsidP="007B52DB">
      <w:pPr>
        <w:spacing w:after="0"/>
        <w:ind w:left="-5" w:right="13"/>
        <w:jc w:val="both"/>
      </w:pPr>
      <w:r>
        <w:t>Additional support based on direct costs can be requested to contribute towards</w:t>
      </w:r>
      <w:r w:rsidR="007B52DB">
        <w:t xml:space="preserve"> extra costs </w:t>
      </w:r>
      <w:r w:rsidR="00B928F1">
        <w:t xml:space="preserve">of </w:t>
      </w:r>
      <w:r>
        <w:t xml:space="preserve">the visit </w:t>
      </w:r>
      <w:r w:rsidR="00B928F1">
        <w:t xml:space="preserve">associated with childcare or special needs. </w:t>
      </w:r>
      <w:r w:rsidR="007B52DB">
        <w:t>These will be approved</w:t>
      </w:r>
      <w:r w:rsidR="00B928F1">
        <w:t xml:space="preserve"> </w:t>
      </w:r>
      <w:r w:rsidR="007B52DB">
        <w:t xml:space="preserve">on a case by case basis. </w:t>
      </w:r>
    </w:p>
    <w:p w:rsidR="00B928F1" w:rsidRDefault="00B928F1" w:rsidP="00684372">
      <w:pPr>
        <w:ind w:left="-5" w:right="13"/>
        <w:jc w:val="both"/>
      </w:pPr>
    </w:p>
    <w:p w:rsidR="00C67A6B" w:rsidRDefault="00B928F1" w:rsidP="00684372">
      <w:pPr>
        <w:ind w:left="-5" w:right="13"/>
        <w:jc w:val="both"/>
      </w:pPr>
      <w:r>
        <w:t>The flat rates are</w:t>
      </w:r>
      <w:r w:rsidR="00C67A6B">
        <w:t xml:space="preserve"> designed to make funding easier to manage. Successful applicants will be able to use underspend under one budget category to cover the costs under a different category (e.g. any underspend on the budget to cover the travel can be used to cover other costs for subsistence).  </w:t>
      </w:r>
    </w:p>
    <w:p w:rsidR="00B928F1" w:rsidRDefault="00C67A6B" w:rsidP="00684372">
      <w:pPr>
        <w:ind w:left="-5" w:right="13"/>
        <w:jc w:val="both"/>
      </w:pPr>
      <w:r>
        <w:t xml:space="preserve">Please note that although the grant contribution will be calculated using flat rate contributions, </w:t>
      </w:r>
      <w:r w:rsidR="00B928F1">
        <w:t xml:space="preserve"> </w:t>
      </w:r>
      <w:r>
        <w:t xml:space="preserve"> researchers </w:t>
      </w:r>
      <w:r w:rsidR="00B928F1">
        <w:t xml:space="preserve">and their institutions </w:t>
      </w:r>
      <w:r>
        <w:t>will be asked to keep and submit receipts and invoi</w:t>
      </w:r>
      <w:r w:rsidR="00B928F1">
        <w:t>ces to demonstrate their spend</w:t>
      </w:r>
      <w:r w:rsidR="00A93AD6">
        <w:t xml:space="preserve"> until 31 December</w:t>
      </w:r>
      <w:r w:rsidR="00B928F1">
        <w:t xml:space="preserve"> 2021</w:t>
      </w:r>
      <w:r>
        <w:t xml:space="preserve">.  </w:t>
      </w:r>
    </w:p>
    <w:p w:rsidR="00B928F1" w:rsidRDefault="00B928F1" w:rsidP="00B928F1">
      <w:pPr>
        <w:spacing w:after="230"/>
        <w:ind w:left="-5" w:right="70"/>
        <w:jc w:val="both"/>
      </w:pPr>
      <w:r>
        <w:t xml:space="preserve">Full checks of supporting documentation will be carried out on a proportion of the grants. </w:t>
      </w:r>
    </w:p>
    <w:p w:rsidR="00B928F1" w:rsidRDefault="00B928F1" w:rsidP="00B928F1">
      <w:pPr>
        <w:spacing w:after="230"/>
        <w:ind w:left="-5" w:right="70"/>
        <w:jc w:val="both"/>
      </w:pPr>
      <w:r>
        <w:t xml:space="preserve">Further monitoring and evaluation will also be carried out, to be specified in the grant agreement. </w:t>
      </w:r>
    </w:p>
    <w:p w:rsidR="00C67A6B" w:rsidRDefault="00C67A6B" w:rsidP="00684372">
      <w:pPr>
        <w:ind w:left="-5" w:right="13"/>
        <w:jc w:val="both"/>
      </w:pPr>
      <w:r>
        <w:rPr>
          <w:b/>
        </w:rPr>
        <w:t>Please see Annex 4 for</w:t>
      </w:r>
      <w:r>
        <w:t xml:space="preserve"> </w:t>
      </w:r>
      <w:r>
        <w:rPr>
          <w:b/>
        </w:rPr>
        <w:t xml:space="preserve">maximum amounts that can be requested in each budget category and for details on </w:t>
      </w:r>
      <w:r w:rsidR="00513359">
        <w:rPr>
          <w:b/>
        </w:rPr>
        <w:t xml:space="preserve">financial </w:t>
      </w:r>
      <w:r>
        <w:rPr>
          <w:b/>
        </w:rPr>
        <w:t>reporting</w:t>
      </w:r>
      <w:r w:rsidR="00513359">
        <w:t>.</w:t>
      </w:r>
    </w:p>
    <w:p w:rsidR="00C67A6B" w:rsidRDefault="00C67A6B" w:rsidP="00684372">
      <w:pPr>
        <w:ind w:left="-5" w:right="13"/>
        <w:jc w:val="both"/>
      </w:pPr>
      <w:r>
        <w:t xml:space="preserve">While the maximum contribution cannot be exceeded, applicants can request less in which case the amount requested cannot be increased at a later stage. </w:t>
      </w:r>
    </w:p>
    <w:p w:rsidR="00C67A6B" w:rsidRDefault="00C67A6B" w:rsidP="00684372">
      <w:pPr>
        <w:spacing w:after="230"/>
        <w:ind w:left="-5" w:right="13"/>
        <w:jc w:val="both"/>
      </w:pPr>
      <w:r>
        <w:t xml:space="preserve">Please also note that the final value of the award will be specified in the </w:t>
      </w:r>
      <w:r w:rsidR="00B928F1">
        <w:t>Grant Agreement</w:t>
      </w:r>
      <w:r>
        <w:t xml:space="preserve">. The British Council and partner funders will not increase the value of an award at a later stage. </w:t>
      </w:r>
    </w:p>
    <w:p w:rsidR="00C67A6B" w:rsidRDefault="00C67A6B" w:rsidP="00B928F1">
      <w:pPr>
        <w:spacing w:after="62" w:line="259" w:lineRule="auto"/>
        <w:ind w:left="-5"/>
        <w:jc w:val="both"/>
      </w:pPr>
      <w:r w:rsidRPr="00B928F1">
        <w:rPr>
          <w:b/>
        </w:rPr>
        <w:t>Travel</w:t>
      </w:r>
      <w:r w:rsidR="00B928F1">
        <w:rPr>
          <w:b/>
        </w:rPr>
        <w:t xml:space="preserve">: </w:t>
      </w:r>
      <w:r>
        <w:t>travel costs for researchers travelling to the country where the visit takes place. This also covers costs for luggage and travel insurance as well as local transport on the day of travel. International (economy return) airfares should be booked as far in advance as possible to minimise costs.</w:t>
      </w:r>
      <w:r>
        <w:rPr>
          <w:sz w:val="20"/>
        </w:rPr>
        <w:t xml:space="preserve"> </w:t>
      </w:r>
    </w:p>
    <w:p w:rsidR="00C67A6B" w:rsidRDefault="00C67A6B" w:rsidP="00B928F1">
      <w:pPr>
        <w:spacing w:after="62" w:line="259" w:lineRule="auto"/>
        <w:ind w:left="-5"/>
        <w:jc w:val="both"/>
      </w:pPr>
      <w:proofErr w:type="gramStart"/>
      <w:r w:rsidRPr="00B928F1">
        <w:rPr>
          <w:b/>
        </w:rPr>
        <w:t xml:space="preserve">Visas </w:t>
      </w:r>
      <w:r w:rsidR="00B928F1">
        <w:rPr>
          <w:b/>
        </w:rPr>
        <w:t>:</w:t>
      </w:r>
      <w:proofErr w:type="gramEnd"/>
      <w:r w:rsidR="00B928F1">
        <w:rPr>
          <w:b/>
        </w:rPr>
        <w:t xml:space="preserve"> </w:t>
      </w:r>
      <w:r>
        <w:t xml:space="preserve">costs for visas. Information on UK entry regulations for visiting researchers can be found on the </w:t>
      </w:r>
      <w:proofErr w:type="spellStart"/>
      <w:r>
        <w:t>Euraxess</w:t>
      </w:r>
      <w:proofErr w:type="spellEnd"/>
      <w:r>
        <w:t xml:space="preserve"> website: </w:t>
      </w:r>
      <w:hyperlink r:id="rId13">
        <w:r>
          <w:rPr>
            <w:color w:val="0000FF"/>
            <w:u w:val="single" w:color="0000FF"/>
          </w:rPr>
          <w:t>http://www.britishcouncil.org/new/euraxess/euraxess</w:t>
        </w:r>
      </w:hyperlink>
      <w:hyperlink r:id="rId14">
        <w:r>
          <w:rPr>
            <w:color w:val="0000FF"/>
            <w:u w:val="single" w:color="0000FF"/>
          </w:rPr>
          <w:t>-</w:t>
        </w:r>
      </w:hyperlink>
      <w:hyperlink r:id="rId15">
        <w:r>
          <w:rPr>
            <w:color w:val="0000FF"/>
            <w:u w:val="single" w:color="0000FF"/>
          </w:rPr>
          <w:t>living/euraxess</w:t>
        </w:r>
      </w:hyperlink>
      <w:hyperlink r:id="rId16">
        <w:r>
          <w:rPr>
            <w:color w:val="0000FF"/>
            <w:u w:val="single" w:color="0000FF"/>
          </w:rPr>
          <w:t>-</w:t>
        </w:r>
      </w:hyperlink>
      <w:hyperlink r:id="rId17">
        <w:r>
          <w:rPr>
            <w:color w:val="0000FF"/>
            <w:u w:val="single" w:color="0000FF"/>
          </w:rPr>
          <w:t>living</w:t>
        </w:r>
      </w:hyperlink>
      <w:hyperlink r:id="rId18">
        <w:r>
          <w:rPr>
            <w:color w:val="0000FF"/>
            <w:u w:val="single" w:color="0000FF"/>
          </w:rPr>
          <w:t>-</w:t>
        </w:r>
      </w:hyperlink>
      <w:hyperlink r:id="rId19">
        <w:r>
          <w:rPr>
            <w:color w:val="0000FF"/>
            <w:u w:val="single" w:color="0000FF"/>
          </w:rPr>
          <w:t>entry</w:t>
        </w:r>
      </w:hyperlink>
      <w:hyperlink r:id="rId20">
        <w:r>
          <w:rPr>
            <w:color w:val="0000FF"/>
            <w:u w:val="single" w:color="0000FF"/>
          </w:rPr>
          <w:t>-</w:t>
        </w:r>
      </w:hyperlink>
      <w:hyperlink r:id="rId21">
        <w:r>
          <w:rPr>
            <w:color w:val="0000FF"/>
            <w:u w:val="single" w:color="0000FF"/>
          </w:rPr>
          <w:t>regulations/</w:t>
        </w:r>
      </w:hyperlink>
      <w:hyperlink r:id="rId22">
        <w:r>
          <w:t xml:space="preserve"> </w:t>
        </w:r>
      </w:hyperlink>
    </w:p>
    <w:p w:rsidR="00C67A6B" w:rsidRDefault="00C67A6B" w:rsidP="00B928F1">
      <w:pPr>
        <w:spacing w:after="62" w:line="259" w:lineRule="auto"/>
        <w:ind w:left="-5"/>
        <w:jc w:val="both"/>
      </w:pPr>
      <w:r w:rsidRPr="00B928F1">
        <w:rPr>
          <w:b/>
        </w:rPr>
        <w:t>Insurance</w:t>
      </w:r>
      <w:r w:rsidR="00B928F1">
        <w:rPr>
          <w:b/>
        </w:rPr>
        <w:t xml:space="preserve">: </w:t>
      </w:r>
      <w:r w:rsidR="00B928F1">
        <w:t>su</w:t>
      </w:r>
      <w:r>
        <w:t>ccessful applicants should take out adequate insurance as the British Council cannot take responsibility for any problems which may occur during the visit. Successful applicants will accept full responsibility for all aspects of the visit and take out insurance for any risks associated with taking part in travelling abroad, including all unexpected and uncontrollable events. The British Council will not be liable for the consequences of any such risks or any costs incurred.</w:t>
      </w:r>
      <w:r>
        <w:rPr>
          <w:b/>
        </w:rPr>
        <w:t xml:space="preserve"> </w:t>
      </w:r>
    </w:p>
    <w:p w:rsidR="00C67A6B" w:rsidRDefault="00C67A6B" w:rsidP="00B928F1">
      <w:pPr>
        <w:spacing w:after="62" w:line="259" w:lineRule="auto"/>
        <w:ind w:left="-5"/>
        <w:jc w:val="both"/>
      </w:pPr>
      <w:r w:rsidRPr="00B928F1">
        <w:rPr>
          <w:b/>
        </w:rPr>
        <w:t>Subsistence</w:t>
      </w:r>
      <w:r w:rsidR="00B928F1">
        <w:rPr>
          <w:b/>
        </w:rPr>
        <w:t xml:space="preserve">: </w:t>
      </w:r>
      <w:r>
        <w:t>costs for accommodation and other daily expenses such as phone and local transports. Subsistence is calculated using unit costs for each month (</w:t>
      </w:r>
      <w:r w:rsidR="00B928F1">
        <w:t xml:space="preserve">1 month is intended as 4 weeks), </w:t>
      </w:r>
      <w:r>
        <w:t>and is specific to the country of destination.</w:t>
      </w:r>
      <w:r>
        <w:rPr>
          <w:b/>
        </w:rPr>
        <w:t xml:space="preserve"> </w:t>
      </w:r>
    </w:p>
    <w:p w:rsidR="00C67A6B" w:rsidRDefault="00C67A6B" w:rsidP="00B928F1">
      <w:pPr>
        <w:spacing w:after="62" w:line="259" w:lineRule="auto"/>
        <w:ind w:left="-5"/>
        <w:jc w:val="both"/>
      </w:pPr>
      <w:r w:rsidRPr="00B928F1">
        <w:rPr>
          <w:b/>
        </w:rPr>
        <w:t>Consumables</w:t>
      </w:r>
      <w:r w:rsidR="00B928F1">
        <w:rPr>
          <w:b/>
        </w:rPr>
        <w:t>:</w:t>
      </w:r>
      <w:r w:rsidR="00AC05E1">
        <w:rPr>
          <w:b/>
        </w:rPr>
        <w:t xml:space="preserve"> </w:t>
      </w:r>
      <w:r w:rsidR="00B928F1" w:rsidRPr="00AC05E1">
        <w:t>a</w:t>
      </w:r>
      <w:r>
        <w:t xml:space="preserve"> small amount can be requested to cover consumables. However, it is expected that the receiving laboratory or department will provide most of these resources. </w:t>
      </w:r>
    </w:p>
    <w:p w:rsidR="00C67A6B" w:rsidRDefault="00C67A6B" w:rsidP="00B928F1">
      <w:pPr>
        <w:spacing w:after="62" w:line="259" w:lineRule="auto"/>
        <w:ind w:left="-5"/>
      </w:pPr>
      <w:r w:rsidRPr="00B928F1">
        <w:rPr>
          <w:b/>
        </w:rPr>
        <w:t>Additional support for childcare and special needs</w:t>
      </w:r>
      <w:r w:rsidR="00B928F1">
        <w:rPr>
          <w:b/>
        </w:rPr>
        <w:t xml:space="preserve">: </w:t>
      </w:r>
      <w:r>
        <w:t xml:space="preserve">The British Council is committed to equal opportunities and diversity. Additional support for childcare can be requested by applicants, as a contribution to additional childcare costs incurred as a result of the visit, or for special needs. Sufficient justification must be provided to support the request and these will be considered on a case by case basis. </w:t>
      </w:r>
    </w:p>
    <w:p w:rsidR="00C45199" w:rsidRDefault="00AC05E1" w:rsidP="00684372">
      <w:pPr>
        <w:spacing w:after="230"/>
        <w:ind w:left="-5"/>
        <w:rPr>
          <w:b/>
        </w:rPr>
      </w:pPr>
      <w:r>
        <w:rPr>
          <w:b/>
        </w:rPr>
        <w:t>S</w:t>
      </w:r>
      <w:r w:rsidR="00C67A6B">
        <w:rPr>
          <w:b/>
        </w:rPr>
        <w:t xml:space="preserve">uccessful applicants are expected to make their own travel and accommodation arrangements, and that the British Council will not be able to assist in requesting visas or taking out insurance required to carry out their visit. </w:t>
      </w:r>
    </w:p>
    <w:p w:rsidR="00C45199" w:rsidRDefault="00C45199" w:rsidP="00C45199">
      <w:pPr>
        <w:ind w:left="-5"/>
      </w:pPr>
      <w:r>
        <w:rPr>
          <w:b/>
        </w:rPr>
        <w:t xml:space="preserve">Payment of the grant </w:t>
      </w:r>
    </w:p>
    <w:p w:rsidR="00B928F1" w:rsidRDefault="00B928F1" w:rsidP="00684372">
      <w:pPr>
        <w:ind w:left="-5" w:right="13"/>
        <w:jc w:val="both"/>
      </w:pPr>
      <w:r>
        <w:t xml:space="preserve">The </w:t>
      </w:r>
      <w:r w:rsidR="005F3484">
        <w:t xml:space="preserve">British Council will sign the Grant Agreement with the </w:t>
      </w:r>
      <w:r>
        <w:t>successful applicant</w:t>
      </w:r>
      <w:r w:rsidR="005F3484">
        <w:t>’s</w:t>
      </w:r>
      <w:r>
        <w:t xml:space="preserve"> home </w:t>
      </w:r>
      <w:proofErr w:type="gramStart"/>
      <w:r>
        <w:t>institut</w:t>
      </w:r>
      <w:r w:rsidR="005F3484">
        <w:t>ion</w:t>
      </w:r>
      <w:r>
        <w:t>,</w:t>
      </w:r>
      <w:proofErr w:type="gramEnd"/>
      <w:r>
        <w:t xml:space="preserve"> </w:t>
      </w:r>
      <w:r w:rsidR="005F3484">
        <w:t xml:space="preserve">The home institution then receives the grant payments and disburses the funds to the researcher. </w:t>
      </w:r>
      <w:r>
        <w:t xml:space="preserve"> </w:t>
      </w:r>
    </w:p>
    <w:p w:rsidR="00B928F1" w:rsidRDefault="00B928F1" w:rsidP="00684372">
      <w:pPr>
        <w:ind w:left="-5" w:right="13"/>
        <w:jc w:val="both"/>
      </w:pPr>
      <w:r>
        <w:t>Payments will</w:t>
      </w:r>
      <w:r w:rsidR="00C45199">
        <w:t xml:space="preserve"> be processed in two instalments: </w:t>
      </w:r>
    </w:p>
    <w:p w:rsidR="005F3484" w:rsidRDefault="00B928F1" w:rsidP="005F3484">
      <w:pPr>
        <w:spacing w:after="232"/>
        <w:ind w:left="-5" w:right="13"/>
        <w:jc w:val="both"/>
      </w:pPr>
      <w:r w:rsidRPr="00B928F1">
        <w:rPr>
          <w:b/>
        </w:rPr>
        <w:t>Pre-financing payment:</w:t>
      </w:r>
      <w:r>
        <w:t xml:space="preserve"> </w:t>
      </w:r>
      <w:r w:rsidR="005F3484">
        <w:t xml:space="preserve"> 90% of the budget approved following budget checks by the British Council will be transferred to the home institution within 30 days of British Council signature of the Grant Agreement.</w:t>
      </w:r>
    </w:p>
    <w:p w:rsidR="00C45199" w:rsidRDefault="005F3484" w:rsidP="005F3484">
      <w:pPr>
        <w:spacing w:after="62" w:line="259" w:lineRule="auto"/>
        <w:ind w:left="-5"/>
        <w:jc w:val="both"/>
      </w:pPr>
      <w:r w:rsidRPr="005F3484">
        <w:rPr>
          <w:b/>
        </w:rPr>
        <w:t xml:space="preserve"> </w:t>
      </w:r>
      <w:r w:rsidR="00C45199" w:rsidRPr="005F3484">
        <w:rPr>
          <w:b/>
        </w:rPr>
        <w:t>Post-visit payment or recovery of the balance</w:t>
      </w:r>
      <w:r>
        <w:rPr>
          <w:b/>
        </w:rPr>
        <w:t xml:space="preserve">: </w:t>
      </w:r>
      <w:r w:rsidRPr="00AC05E1">
        <w:t>t</w:t>
      </w:r>
      <w:r w:rsidR="00C45199">
        <w:t xml:space="preserve">he amount of the final payment to be made to the successful applicant’s home institution will be established on the basis of a final report. If the visit has not taken place, or if the duration of it has been decreased, resulting in a reduction in costs, the final payment may be withheld and if necessary the entire grant, or a proportion of it, recovered. </w:t>
      </w:r>
    </w:p>
    <w:p w:rsidR="000A0F43" w:rsidRDefault="000A0F43" w:rsidP="00684372">
      <w:pPr>
        <w:ind w:left="-5" w:right="13"/>
        <w:jc w:val="both"/>
      </w:pPr>
      <w:r>
        <w:t xml:space="preserve">Successful applicants are required to submit a final report within 30 days of their visit. A </w:t>
      </w:r>
      <w:r w:rsidR="005F3484">
        <w:t>f</w:t>
      </w:r>
      <w:r>
        <w:t xml:space="preserve">inal report template will be sent to successful applicants and will include a financial and a narrative part. </w:t>
      </w:r>
    </w:p>
    <w:p w:rsidR="000A0F43" w:rsidRDefault="000A0F43" w:rsidP="00684372">
      <w:pPr>
        <w:ind w:left="-5" w:right="13"/>
        <w:jc w:val="both"/>
      </w:pPr>
      <w:r>
        <w:t xml:space="preserve">As the Newton Researcher Links Travel Grant is calculated using flat rates, in most of the countries, successful applicants will not need to submit detailed receipts </w:t>
      </w:r>
      <w:proofErr w:type="gramStart"/>
      <w:r>
        <w:t>for each expenditure</w:t>
      </w:r>
      <w:proofErr w:type="gramEnd"/>
      <w:r>
        <w:t xml:space="preserve"> but only proof that the visit took place (e.g. boarding cards, proof of i</w:t>
      </w:r>
      <w:r w:rsidR="005F3484">
        <w:t>nsurance, visa, accommodation) and a signed certificate of attendance from the host institution.</w:t>
      </w:r>
      <w:r>
        <w:t xml:space="preserve"> </w:t>
      </w:r>
    </w:p>
    <w:p w:rsidR="000A0F43" w:rsidRDefault="000A0F43" w:rsidP="00684372">
      <w:pPr>
        <w:ind w:left="-5" w:right="13"/>
        <w:jc w:val="both"/>
      </w:pPr>
      <w:r>
        <w:t xml:space="preserve">However, please see Annex 4 for details on reporting requirements for individual countries. If there is insufficient evidence in the final report that the visit took place as proposed in the application, then additional information may be requested prior to the final balance payment, or any underspend of the grant may be returned to the British Council. </w:t>
      </w:r>
    </w:p>
    <w:p w:rsidR="00C67A6B" w:rsidRPr="00A93AD6" w:rsidRDefault="00AC05E1" w:rsidP="005F3484">
      <w:pPr>
        <w:spacing w:after="233"/>
        <w:ind w:left="-5"/>
        <w:rPr>
          <w:b/>
        </w:rPr>
      </w:pPr>
      <w:r>
        <w:rPr>
          <w:b/>
        </w:rPr>
        <w:t>D</w:t>
      </w:r>
      <w:r w:rsidR="000A0F43">
        <w:rPr>
          <w:b/>
        </w:rPr>
        <w:t xml:space="preserve">ifferent reporting rules may apply where visits are fully or partially funded by in-country partner organisations </w:t>
      </w:r>
      <w:r w:rsidR="000A0F43">
        <w:t xml:space="preserve"> </w:t>
      </w:r>
    </w:p>
    <w:p w:rsidR="00FF1847" w:rsidRPr="00A93AD6" w:rsidRDefault="001C3752" w:rsidP="0086797E">
      <w:pPr>
        <w:pStyle w:val="ListParagraph"/>
        <w:numPr>
          <w:ilvl w:val="0"/>
          <w:numId w:val="10"/>
        </w:numPr>
        <w:rPr>
          <w:b/>
        </w:rPr>
      </w:pPr>
      <w:r w:rsidRPr="00A93AD6">
        <w:rPr>
          <w:b/>
        </w:rPr>
        <w:t>Ethics and research governance</w:t>
      </w:r>
    </w:p>
    <w:p w:rsidR="00AD6802" w:rsidRDefault="00AD6802" w:rsidP="00684372">
      <w:pPr>
        <w:pStyle w:val="Heading21"/>
        <w:numPr>
          <w:ilvl w:val="0"/>
          <w:numId w:val="0"/>
        </w:numPr>
        <w:spacing w:before="0"/>
        <w:ind w:left="-15"/>
        <w:jc w:val="both"/>
      </w:pPr>
      <w:r w:rsidRPr="00D5484F">
        <w:rPr>
          <w:b w:val="0"/>
        </w:rPr>
        <w:t xml:space="preserve">It is </w:t>
      </w:r>
      <w:r>
        <w:rPr>
          <w:b w:val="0"/>
        </w:rPr>
        <w:t>essential</w:t>
      </w:r>
      <w:r w:rsidRPr="00D5484F">
        <w:rPr>
          <w:b w:val="0"/>
        </w:rPr>
        <w:t xml:space="preserve"> that all legal </w:t>
      </w:r>
      <w:r>
        <w:rPr>
          <w:b w:val="0"/>
        </w:rPr>
        <w:t>and</w:t>
      </w:r>
      <w:r w:rsidRPr="00D5484F">
        <w:rPr>
          <w:b w:val="0"/>
        </w:rPr>
        <w:t xml:space="preserve"> professional codes of practice are followed in conducting </w:t>
      </w:r>
      <w:r>
        <w:rPr>
          <w:b w:val="0"/>
        </w:rPr>
        <w:t>work</w:t>
      </w:r>
      <w:r w:rsidRPr="00D5484F">
        <w:rPr>
          <w:b w:val="0"/>
        </w:rPr>
        <w:t xml:space="preserve"> supported under this </w:t>
      </w:r>
      <w:r>
        <w:rPr>
          <w:b w:val="0"/>
        </w:rPr>
        <w:t>Programme</w:t>
      </w:r>
      <w:r w:rsidRPr="00D5484F">
        <w:rPr>
          <w:b w:val="0"/>
        </w:rPr>
        <w:t xml:space="preserve">. Applicants must ensure the proposed </w:t>
      </w:r>
      <w:r>
        <w:rPr>
          <w:b w:val="0"/>
        </w:rPr>
        <w:t>activity will be carried out to the</w:t>
      </w:r>
      <w:r w:rsidRPr="00D5484F">
        <w:rPr>
          <w:b w:val="0"/>
        </w:rPr>
        <w:t xml:space="preserve"> high</w:t>
      </w:r>
      <w:r>
        <w:rPr>
          <w:b w:val="0"/>
        </w:rPr>
        <w:t>est standards of ethics and research integrity</w:t>
      </w:r>
      <w:r w:rsidR="005F3484">
        <w:rPr>
          <w:b w:val="0"/>
        </w:rPr>
        <w:t xml:space="preserve">. </w:t>
      </w:r>
      <w:r>
        <w:rPr>
          <w:b w:val="0"/>
        </w:rPr>
        <w:t>Specifically, a</w:t>
      </w:r>
      <w:r w:rsidRPr="00D5484F">
        <w:rPr>
          <w:b w:val="0"/>
        </w:rPr>
        <w:t>pplications that</w:t>
      </w:r>
      <w:r>
        <w:rPr>
          <w:b w:val="0"/>
        </w:rPr>
        <w:t xml:space="preserve"> involve research on animals, </w:t>
      </w:r>
      <w:r w:rsidRPr="00D5484F">
        <w:rPr>
          <w:b w:val="0"/>
        </w:rPr>
        <w:t xml:space="preserve">human </w:t>
      </w:r>
      <w:r>
        <w:rPr>
          <w:b w:val="0"/>
        </w:rPr>
        <w:t xml:space="preserve">participants, human tissue or patient/participant data </w:t>
      </w:r>
      <w:r w:rsidRPr="00D5484F">
        <w:rPr>
          <w:b w:val="0"/>
        </w:rPr>
        <w:t xml:space="preserve">must be accompanied by necessary permission certificates from the </w:t>
      </w:r>
      <w:r>
        <w:rPr>
          <w:b w:val="0"/>
        </w:rPr>
        <w:t xml:space="preserve">relevant </w:t>
      </w:r>
      <w:r w:rsidRPr="00D5484F">
        <w:rPr>
          <w:b w:val="0"/>
        </w:rPr>
        <w:t xml:space="preserve">local ethical </w:t>
      </w:r>
      <w:r>
        <w:rPr>
          <w:b w:val="0"/>
        </w:rPr>
        <w:t xml:space="preserve">review </w:t>
      </w:r>
      <w:r w:rsidRPr="00D5484F">
        <w:rPr>
          <w:b w:val="0"/>
        </w:rPr>
        <w:t>committee</w:t>
      </w:r>
      <w:r>
        <w:rPr>
          <w:b w:val="0"/>
        </w:rPr>
        <w:t>s</w:t>
      </w:r>
      <w:r w:rsidRPr="00D5484F">
        <w:rPr>
          <w:b w:val="0"/>
        </w:rPr>
        <w:t>/authorities</w:t>
      </w:r>
      <w:r>
        <w:rPr>
          <w:b w:val="0"/>
        </w:rPr>
        <w:t xml:space="preserve"> in the UK and the partner country,</w:t>
      </w:r>
      <w:r w:rsidRPr="00D5484F">
        <w:rPr>
          <w:b w:val="0"/>
        </w:rPr>
        <w:t xml:space="preserve"> or an undertaking to obtain this permission in advance of </w:t>
      </w:r>
      <w:r>
        <w:rPr>
          <w:b w:val="0"/>
        </w:rPr>
        <w:t xml:space="preserve">the activity </w:t>
      </w:r>
      <w:r w:rsidRPr="00D5484F">
        <w:rPr>
          <w:b w:val="0"/>
        </w:rPr>
        <w:t xml:space="preserve">commencing. Failure to do </w:t>
      </w:r>
      <w:r>
        <w:rPr>
          <w:b w:val="0"/>
        </w:rPr>
        <w:t>so</w:t>
      </w:r>
      <w:r w:rsidRPr="00D5484F">
        <w:rPr>
          <w:b w:val="0"/>
        </w:rPr>
        <w:t xml:space="preserve"> will result in </w:t>
      </w:r>
      <w:r>
        <w:rPr>
          <w:b w:val="0"/>
        </w:rPr>
        <w:t xml:space="preserve">applications being rendered ineligible and </w:t>
      </w:r>
      <w:r w:rsidRPr="00D5484F">
        <w:rPr>
          <w:b w:val="0"/>
        </w:rPr>
        <w:t xml:space="preserve">any funding </w:t>
      </w:r>
      <w:r>
        <w:rPr>
          <w:b w:val="0"/>
        </w:rPr>
        <w:t>already committed through this Programme being rescinded.</w:t>
      </w:r>
    </w:p>
    <w:p w:rsidR="00AD6802" w:rsidRDefault="00AD6802" w:rsidP="00AC05E1">
      <w:pPr>
        <w:pStyle w:val="Heading21"/>
        <w:numPr>
          <w:ilvl w:val="0"/>
          <w:numId w:val="0"/>
        </w:numPr>
        <w:spacing w:before="0"/>
        <w:jc w:val="both"/>
        <w:rPr>
          <w:b w:val="0"/>
        </w:rPr>
      </w:pPr>
      <w:r>
        <w:rPr>
          <w:b w:val="0"/>
        </w:rPr>
        <w:t>Please refer to the Research Councils UK ‘Policy and G</w:t>
      </w:r>
      <w:r w:rsidR="00684372">
        <w:rPr>
          <w:b w:val="0"/>
        </w:rPr>
        <w:t xml:space="preserve">uidelines on Governance of Good </w:t>
      </w:r>
      <w:r>
        <w:rPr>
          <w:b w:val="0"/>
        </w:rPr>
        <w:t>Research Conduct’ (</w:t>
      </w:r>
      <w:hyperlink r:id="rId23" w:history="1">
        <w:r w:rsidRPr="00897DE4">
          <w:rPr>
            <w:rStyle w:val="Hyperlink"/>
            <w:b w:val="0"/>
          </w:rPr>
          <w:t>http://www.rcuk.ac.uk/Publications/researchers/grc/</w:t>
        </w:r>
      </w:hyperlink>
      <w:r>
        <w:rPr>
          <w:b w:val="0"/>
        </w:rPr>
        <w:t xml:space="preserve">) or contact us at </w:t>
      </w:r>
      <w:hyperlink r:id="rId24" w:history="1">
        <w:r w:rsidR="00684372" w:rsidRPr="006A4284">
          <w:rPr>
            <w:rStyle w:val="Hyperlink"/>
            <w:b w:val="0"/>
          </w:rPr>
          <w:t>UK-ResearcherLinks@britishcouncil.org</w:t>
        </w:r>
      </w:hyperlink>
      <w:r>
        <w:rPr>
          <w:b w:val="0"/>
        </w:rPr>
        <w:t xml:space="preserve"> for further guidance.</w:t>
      </w:r>
    </w:p>
    <w:p w:rsidR="00AC05E1" w:rsidRPr="00684372" w:rsidRDefault="00AC05E1" w:rsidP="00AC05E1">
      <w:pPr>
        <w:pStyle w:val="Heading21"/>
        <w:numPr>
          <w:ilvl w:val="0"/>
          <w:numId w:val="0"/>
        </w:numPr>
        <w:spacing w:before="0"/>
        <w:jc w:val="both"/>
        <w:rPr>
          <w:b w:val="0"/>
        </w:rPr>
      </w:pPr>
    </w:p>
    <w:p w:rsidR="00713FF2" w:rsidRDefault="001C3752" w:rsidP="0086797E">
      <w:pPr>
        <w:pStyle w:val="ListParagraph"/>
        <w:numPr>
          <w:ilvl w:val="0"/>
          <w:numId w:val="10"/>
        </w:numPr>
      </w:pPr>
      <w:r w:rsidRPr="00AC05E1">
        <w:rPr>
          <w:b/>
        </w:rPr>
        <w:t>Submission process</w:t>
      </w:r>
    </w:p>
    <w:p w:rsidR="00D24CE2" w:rsidRDefault="00D24CE2" w:rsidP="00D24CE2">
      <w:r w:rsidRPr="00E712AF">
        <w:t xml:space="preserve">The submission deadline is </w:t>
      </w:r>
      <w:r w:rsidRPr="00E712AF">
        <w:rPr>
          <w:b/>
        </w:rPr>
        <w:t xml:space="preserve">16:00 UK time on </w:t>
      </w:r>
      <w:r>
        <w:rPr>
          <w:b/>
        </w:rPr>
        <w:t>13</w:t>
      </w:r>
      <w:r w:rsidRPr="00E712AF">
        <w:rPr>
          <w:b/>
        </w:rPr>
        <w:t xml:space="preserve"> July 201</w:t>
      </w:r>
      <w:r w:rsidR="00BB1955">
        <w:rPr>
          <w:b/>
        </w:rPr>
        <w:t>5</w:t>
      </w:r>
      <w:r w:rsidRPr="00E712AF">
        <w:t>. Proposals submitted after the deadline will not be considered for funding.</w:t>
      </w:r>
    </w:p>
    <w:p w:rsidR="00713FF2" w:rsidRDefault="00D24CE2" w:rsidP="00D24CE2">
      <w:r>
        <w:t xml:space="preserve">Applicants </w:t>
      </w:r>
      <w:r w:rsidRPr="00D27ECA">
        <w:rPr>
          <w:b/>
        </w:rPr>
        <w:t xml:space="preserve">must </w:t>
      </w:r>
      <w:r>
        <w:t>submit a completed online application form (</w:t>
      </w:r>
      <w:hyperlink r:id="rId25" w:tgtFrame="_blank" w:history="1">
        <w:r w:rsidR="005A0458">
          <w:rPr>
            <w:rStyle w:val="Hyperlink"/>
          </w:rPr>
          <w:t>https://britishcouncil-cxobw.formstack.com/forms/application_form_rl_tg_april2015</w:t>
        </w:r>
      </w:hyperlink>
      <w:r>
        <w:t xml:space="preserve"> ).  Submissions by email will </w:t>
      </w:r>
      <w:r w:rsidRPr="00B62677">
        <w:rPr>
          <w:b/>
        </w:rPr>
        <w:t xml:space="preserve">not </w:t>
      </w:r>
      <w:r>
        <w:t xml:space="preserve">be accepted. The online form allows applicants to enter information and save it for a later date until final submission. There are strict character limits for each section which cannot be exceeded. </w:t>
      </w:r>
      <w:r w:rsidR="00713FF2">
        <w:t xml:space="preserve">Any problems with the online system should be reported before the application deadline to: </w:t>
      </w:r>
      <w:r w:rsidR="00713FF2">
        <w:rPr>
          <w:color w:val="0000FF"/>
          <w:u w:val="single" w:color="0000FF"/>
        </w:rPr>
        <w:t>UK</w:t>
      </w:r>
      <w:r w:rsidR="00684372">
        <w:rPr>
          <w:color w:val="0000FF"/>
          <w:u w:val="single" w:color="0000FF"/>
        </w:rPr>
        <w:t>-</w:t>
      </w:r>
      <w:r w:rsidR="00713FF2">
        <w:rPr>
          <w:color w:val="0000FF"/>
          <w:u w:val="single" w:color="0000FF"/>
        </w:rPr>
        <w:t>ResearcherLinks@britishcouncil.org</w:t>
      </w:r>
      <w:r w:rsidR="00713FF2">
        <w:t xml:space="preserve">. </w:t>
      </w:r>
    </w:p>
    <w:p w:rsidR="004B6633" w:rsidRPr="00834DBE" w:rsidRDefault="004B6633" w:rsidP="004B6633">
      <w:pPr>
        <w:widowControl w:val="0"/>
        <w:spacing w:after="120" w:line="240" w:lineRule="auto"/>
        <w:ind w:left="0" w:firstLine="0"/>
        <w:rPr>
          <w:rFonts w:eastAsia="Calibri" w:cs="Times New Roman"/>
          <w:color w:val="auto"/>
          <w:lang w:eastAsia="en-US"/>
        </w:rPr>
      </w:pPr>
      <w:r w:rsidRPr="00834DBE">
        <w:rPr>
          <w:rFonts w:eastAsia="Calibri" w:cs="Times New Roman"/>
          <w:color w:val="auto"/>
          <w:lang w:eastAsia="en-US"/>
        </w:rPr>
        <w:t xml:space="preserve">To assist you in developing your application and sharing content with your partners, </w:t>
      </w:r>
      <w:r>
        <w:rPr>
          <w:rFonts w:eastAsia="Calibri" w:cs="Times New Roman"/>
          <w:color w:val="auto"/>
          <w:lang w:eastAsia="en-US"/>
        </w:rPr>
        <w:t>you can access a Word version of the online fo</w:t>
      </w:r>
      <w:r w:rsidRPr="00834DBE">
        <w:rPr>
          <w:rFonts w:eastAsia="Calibri" w:cs="Times New Roman"/>
          <w:color w:val="auto"/>
          <w:lang w:eastAsia="en-US"/>
        </w:rPr>
        <w:t xml:space="preserve">rm here </w:t>
      </w:r>
      <w:hyperlink r:id="rId26" w:history="1">
        <w:r w:rsidR="006C304A" w:rsidRPr="006C304A">
          <w:rPr>
            <w:rStyle w:val="Hyperlink"/>
            <w:rFonts w:eastAsia="Calibri"/>
            <w:lang w:eastAsia="en-US"/>
          </w:rPr>
          <w:t>http://www.britishcouncil.org/sites/britishcouncil.uk2/files/application_form_for_newton_researcher_links_travel_grants.docx</w:t>
        </w:r>
      </w:hyperlink>
      <w:r w:rsidRPr="006C304A">
        <w:rPr>
          <w:color w:val="auto"/>
          <w:sz w:val="20"/>
        </w:rPr>
        <w:t>.</w:t>
      </w:r>
      <w:r w:rsidRPr="00834DBE">
        <w:rPr>
          <w:rFonts w:eastAsia="Calibri" w:cs="Times New Roman"/>
          <w:color w:val="auto"/>
          <w:lang w:eastAsia="en-US"/>
        </w:rPr>
        <w:t xml:space="preserve"> This is solely to allow you to develop your responses in a convenient format. The final version of your application </w:t>
      </w:r>
      <w:r w:rsidRPr="00834DBE">
        <w:rPr>
          <w:rFonts w:eastAsia="Calibri" w:cs="Times New Roman"/>
          <w:b/>
          <w:color w:val="auto"/>
          <w:lang w:eastAsia="en-US"/>
        </w:rPr>
        <w:t>must</w:t>
      </w:r>
      <w:r w:rsidRPr="00834DBE">
        <w:rPr>
          <w:rFonts w:eastAsia="Calibri" w:cs="Times New Roman"/>
          <w:color w:val="auto"/>
          <w:lang w:eastAsia="en-US"/>
        </w:rPr>
        <w:t xml:space="preserve"> be submitted using the online form.</w:t>
      </w:r>
    </w:p>
    <w:p w:rsidR="004B6633" w:rsidRDefault="004B6633" w:rsidP="00D24CE2"/>
    <w:p w:rsidR="00713FF2" w:rsidRDefault="00713FF2" w:rsidP="00713FF2">
      <w:pPr>
        <w:ind w:left="-5" w:right="13"/>
      </w:pPr>
      <w:r>
        <w:t xml:space="preserve">In addition to completing the online form, applicants are required to upload the following supporting documents: </w:t>
      </w:r>
    </w:p>
    <w:p w:rsidR="00684372" w:rsidRDefault="00713FF2" w:rsidP="00713FF2">
      <w:pPr>
        <w:numPr>
          <w:ilvl w:val="0"/>
          <w:numId w:val="3"/>
        </w:numPr>
        <w:ind w:right="13" w:hanging="540"/>
      </w:pPr>
      <w:r>
        <w:rPr>
          <w:b/>
        </w:rPr>
        <w:t xml:space="preserve">A signed statement of support from the Head of Department (or equivalent) of </w:t>
      </w:r>
      <w:r w:rsidR="00D24CE2">
        <w:rPr>
          <w:b/>
        </w:rPr>
        <w:t xml:space="preserve">your current </w:t>
      </w:r>
      <w:r>
        <w:rPr>
          <w:b/>
        </w:rPr>
        <w:t>home institution.</w:t>
      </w:r>
      <w:r>
        <w:t xml:space="preserve"> This should include information on</w:t>
      </w:r>
      <w:r w:rsidR="00684372">
        <w:t>:</w:t>
      </w:r>
    </w:p>
    <w:p w:rsidR="00684372" w:rsidRDefault="00713FF2" w:rsidP="00684372">
      <w:pPr>
        <w:pStyle w:val="ListParagraph"/>
        <w:numPr>
          <w:ilvl w:val="0"/>
          <w:numId w:val="14"/>
        </w:numPr>
        <w:ind w:right="13"/>
      </w:pPr>
      <w:r>
        <w:t>how your institution will</w:t>
      </w:r>
      <w:r w:rsidR="00684372">
        <w:t xml:space="preserve"> help you prepare for the visit</w:t>
      </w:r>
      <w:r>
        <w:t xml:space="preserve"> </w:t>
      </w:r>
    </w:p>
    <w:p w:rsidR="00684372" w:rsidRDefault="00713FF2" w:rsidP="00684372">
      <w:pPr>
        <w:pStyle w:val="ListParagraph"/>
        <w:numPr>
          <w:ilvl w:val="0"/>
          <w:numId w:val="14"/>
        </w:numPr>
        <w:ind w:right="13"/>
      </w:pPr>
      <w:r>
        <w:t>arrangement</w:t>
      </w:r>
      <w:r w:rsidR="00684372">
        <w:t>s for support during your visit</w:t>
      </w:r>
      <w:r>
        <w:t xml:space="preserve"> </w:t>
      </w:r>
    </w:p>
    <w:p w:rsidR="00684372" w:rsidRDefault="00713FF2" w:rsidP="00684372">
      <w:pPr>
        <w:pStyle w:val="ListParagraph"/>
        <w:numPr>
          <w:ilvl w:val="0"/>
          <w:numId w:val="14"/>
        </w:numPr>
        <w:ind w:right="13"/>
      </w:pPr>
      <w:r>
        <w:t>how the institution will support you in sustaining the link</w:t>
      </w:r>
    </w:p>
    <w:p w:rsidR="00684372" w:rsidRDefault="00713FF2" w:rsidP="00684372">
      <w:pPr>
        <w:ind w:left="540" w:right="13" w:firstLine="0"/>
      </w:pPr>
      <w:r>
        <w:t xml:space="preserve">The letter should also include confirmation that the home institution will sign the grant agreement and will be responsible for managing the funds awarded to the successful applicant. </w:t>
      </w:r>
    </w:p>
    <w:p w:rsidR="00713FF2" w:rsidRDefault="00713FF2" w:rsidP="00684372">
      <w:pPr>
        <w:ind w:left="540" w:right="13" w:firstLine="0"/>
      </w:pPr>
      <w:r>
        <w:t xml:space="preserve">For applicants with fixed-term contacts, the letter should confirm that the applicant will return to his/her home institution in a research capacity for at least six months after the end of the visit. The letter should be in Word or pdf format, and submitted online together with the application form.  </w:t>
      </w:r>
    </w:p>
    <w:p w:rsidR="00684372" w:rsidRDefault="00713FF2" w:rsidP="00713FF2">
      <w:pPr>
        <w:numPr>
          <w:ilvl w:val="0"/>
          <w:numId w:val="3"/>
        </w:numPr>
        <w:ind w:right="13" w:hanging="540"/>
      </w:pPr>
      <w:r>
        <w:rPr>
          <w:b/>
        </w:rPr>
        <w:t>A signed letter of invitation from the Head of Department (or equivalent) of the host institution where the visit will take place.</w:t>
      </w:r>
      <w:r>
        <w:t xml:space="preserve"> This should include </w:t>
      </w:r>
    </w:p>
    <w:p w:rsidR="00684372" w:rsidRDefault="00713FF2" w:rsidP="00684372">
      <w:pPr>
        <w:pStyle w:val="ListParagraph"/>
        <w:numPr>
          <w:ilvl w:val="0"/>
          <w:numId w:val="15"/>
        </w:numPr>
        <w:ind w:right="13"/>
      </w:pPr>
      <w:r>
        <w:t>information on how the host institution will help you prepare for the visit</w:t>
      </w:r>
    </w:p>
    <w:p w:rsidR="00684372" w:rsidRDefault="00713FF2" w:rsidP="00684372">
      <w:pPr>
        <w:pStyle w:val="ListParagraph"/>
        <w:numPr>
          <w:ilvl w:val="0"/>
          <w:numId w:val="15"/>
        </w:numPr>
        <w:ind w:right="13"/>
      </w:pPr>
      <w:proofErr w:type="gramStart"/>
      <w:r>
        <w:t>arrangements</w:t>
      </w:r>
      <w:proofErr w:type="gramEnd"/>
      <w:r>
        <w:t xml:space="preserve"> for support during your visit (waiving of bench fees, support for finding accommodation and any language training needed, indu</w:t>
      </w:r>
      <w:r w:rsidR="00684372">
        <w:t>ction to the institution etc.)</w:t>
      </w:r>
    </w:p>
    <w:p w:rsidR="00684372" w:rsidRDefault="00713FF2" w:rsidP="00684372">
      <w:pPr>
        <w:pStyle w:val="ListParagraph"/>
        <w:numPr>
          <w:ilvl w:val="0"/>
          <w:numId w:val="15"/>
        </w:numPr>
        <w:ind w:right="13"/>
      </w:pPr>
      <w:proofErr w:type="gramStart"/>
      <w:r>
        <w:t>how</w:t>
      </w:r>
      <w:proofErr w:type="gramEnd"/>
      <w:r>
        <w:t xml:space="preserve"> the institution will make a genuine effort to support you in sustaining the link. </w:t>
      </w:r>
    </w:p>
    <w:p w:rsidR="00713FF2" w:rsidRDefault="00713FF2" w:rsidP="00684372">
      <w:pPr>
        <w:ind w:left="540" w:right="13" w:firstLine="0"/>
      </w:pPr>
      <w:r>
        <w:t xml:space="preserve">This should be in Word or pdf format, and submitted online together with the application form. </w:t>
      </w:r>
    </w:p>
    <w:p w:rsidR="00713FF2" w:rsidRDefault="00713FF2" w:rsidP="00713FF2">
      <w:pPr>
        <w:numPr>
          <w:ilvl w:val="0"/>
          <w:numId w:val="3"/>
        </w:numPr>
        <w:ind w:right="13" w:hanging="540"/>
      </w:pPr>
      <w:r>
        <w:t xml:space="preserve">The statements of support from the two Heads of Department should also include comments on the following questions: </w:t>
      </w:r>
    </w:p>
    <w:p w:rsidR="00713FF2" w:rsidRDefault="00713FF2" w:rsidP="00713FF2">
      <w:pPr>
        <w:numPr>
          <w:ilvl w:val="1"/>
          <w:numId w:val="3"/>
        </w:numPr>
        <w:ind w:right="13" w:hanging="360"/>
      </w:pPr>
      <w:r>
        <w:t xml:space="preserve">Why is the research important, especially with respect to the international development impact? </w:t>
      </w:r>
    </w:p>
    <w:p w:rsidR="00713FF2" w:rsidRDefault="00713FF2" w:rsidP="00713FF2">
      <w:pPr>
        <w:numPr>
          <w:ilvl w:val="1"/>
          <w:numId w:val="3"/>
        </w:numPr>
        <w:ind w:right="13" w:hanging="360"/>
      </w:pPr>
      <w:r>
        <w:t xml:space="preserve">Why do you want to make contact with this institution? </w:t>
      </w:r>
    </w:p>
    <w:p w:rsidR="00713FF2" w:rsidRDefault="00713FF2" w:rsidP="00713FF2">
      <w:pPr>
        <w:numPr>
          <w:ilvl w:val="1"/>
          <w:numId w:val="3"/>
        </w:numPr>
        <w:spacing w:after="142"/>
        <w:ind w:right="13" w:hanging="360"/>
      </w:pPr>
      <w:r>
        <w:t xml:space="preserve">How will the link be sustained? </w:t>
      </w:r>
    </w:p>
    <w:p w:rsidR="00713FF2" w:rsidRDefault="00713FF2" w:rsidP="00713FF2">
      <w:pPr>
        <w:numPr>
          <w:ilvl w:val="0"/>
          <w:numId w:val="3"/>
        </w:numPr>
        <w:spacing w:after="247"/>
        <w:ind w:right="13" w:hanging="540"/>
      </w:pPr>
      <w:r>
        <w:t xml:space="preserve">Before the completed application form can be submitted to the system, applicants will be asked to confirm in the online form that they have satisfied British Council policies on prevention of fraud, bribery, money laundering and addressed any other financial and reputational risk that may affect a transparent and fair grant award process. </w:t>
      </w:r>
    </w:p>
    <w:p w:rsidR="00713FF2" w:rsidRDefault="00D24CE2" w:rsidP="00713FF2">
      <w:pPr>
        <w:spacing w:after="226"/>
        <w:ind w:left="-5" w:right="13"/>
      </w:pPr>
      <w:r w:rsidRPr="00D24CE2">
        <w:t xml:space="preserve">Once the online application is submitted, the system will generate a unique application ID number. Applicants should note this number and use it in all communications with the British Council. Applicants who have not received this ID number should contact the British Council at </w:t>
      </w:r>
      <w:hyperlink r:id="rId27" w:history="1">
        <w:r w:rsidRPr="00F25F6C">
          <w:rPr>
            <w:rStyle w:val="Hyperlink"/>
            <w:rFonts w:cs="Arial"/>
          </w:rPr>
          <w:t>UK-ResearcherLinks@britishcouncil.org</w:t>
        </w:r>
      </w:hyperlink>
      <w:r>
        <w:t xml:space="preserve"> </w:t>
      </w:r>
    </w:p>
    <w:p w:rsidR="001C3752" w:rsidRPr="004A43D7" w:rsidRDefault="001C3752" w:rsidP="0086797E">
      <w:pPr>
        <w:pStyle w:val="ListParagraph"/>
        <w:numPr>
          <w:ilvl w:val="0"/>
          <w:numId w:val="10"/>
        </w:numPr>
        <w:rPr>
          <w:b/>
        </w:rPr>
      </w:pPr>
      <w:r w:rsidRPr="004A43D7">
        <w:rPr>
          <w:b/>
        </w:rPr>
        <w:t>Selection process</w:t>
      </w:r>
    </w:p>
    <w:p w:rsidR="00713FF2" w:rsidRDefault="00713FF2" w:rsidP="00861024">
      <w:pPr>
        <w:ind w:left="-5" w:right="13"/>
        <w:jc w:val="both"/>
      </w:pPr>
      <w:r>
        <w:t xml:space="preserve">There will be a two-step selection process, </w:t>
      </w:r>
      <w:r w:rsidR="004A43D7">
        <w:t>an eligibility check</w:t>
      </w:r>
      <w:r w:rsidR="00D16545">
        <w:t xml:space="preserve"> (please see</w:t>
      </w:r>
      <w:r w:rsidR="006972D9">
        <w:t xml:space="preserve"> Annex 2)</w:t>
      </w:r>
      <w:r w:rsidR="004A43D7">
        <w:t xml:space="preserve"> and </w:t>
      </w:r>
      <w:r w:rsidR="00D24CE2">
        <w:t>Review P</w:t>
      </w:r>
      <w:r w:rsidR="004A43D7">
        <w:t xml:space="preserve">anels in the UK and partner countries. The UK panel score will inform the final funding decision made in-country in collaboration with national stakeholders and partner funding organisations. </w:t>
      </w:r>
      <w:r>
        <w:t xml:space="preserve">Eligible applications will be assessed in the UK by one of five Review Panels:  </w:t>
      </w:r>
    </w:p>
    <w:p w:rsidR="00713FF2" w:rsidRDefault="00713FF2" w:rsidP="00713FF2">
      <w:pPr>
        <w:numPr>
          <w:ilvl w:val="1"/>
          <w:numId w:val="4"/>
        </w:numPr>
        <w:spacing w:after="10"/>
        <w:ind w:hanging="360"/>
      </w:pPr>
      <w:r>
        <w:rPr>
          <w:b/>
        </w:rPr>
        <w:t xml:space="preserve">Biological and Medical Sciences </w:t>
      </w:r>
    </w:p>
    <w:p w:rsidR="00713FF2" w:rsidRDefault="00713FF2" w:rsidP="00713FF2">
      <w:pPr>
        <w:numPr>
          <w:ilvl w:val="1"/>
          <w:numId w:val="4"/>
        </w:numPr>
        <w:spacing w:after="10"/>
        <w:ind w:hanging="360"/>
      </w:pPr>
      <w:r>
        <w:rPr>
          <w:b/>
        </w:rPr>
        <w:t xml:space="preserve">Environment, Agriculture and Food Sciences </w:t>
      </w:r>
    </w:p>
    <w:p w:rsidR="00713FF2" w:rsidRDefault="00713FF2" w:rsidP="00713FF2">
      <w:pPr>
        <w:numPr>
          <w:ilvl w:val="1"/>
          <w:numId w:val="4"/>
        </w:numPr>
        <w:spacing w:after="10"/>
        <w:ind w:hanging="360"/>
      </w:pPr>
      <w:r>
        <w:rPr>
          <w:b/>
        </w:rPr>
        <w:t xml:space="preserve">Engineering and Physical Sciences </w:t>
      </w:r>
    </w:p>
    <w:p w:rsidR="00713FF2" w:rsidRDefault="00713FF2" w:rsidP="00713FF2">
      <w:pPr>
        <w:numPr>
          <w:ilvl w:val="1"/>
          <w:numId w:val="4"/>
        </w:numPr>
        <w:spacing w:after="10"/>
        <w:ind w:hanging="360"/>
      </w:pPr>
      <w:r>
        <w:rPr>
          <w:b/>
        </w:rPr>
        <w:t xml:space="preserve">Social Sciences </w:t>
      </w:r>
    </w:p>
    <w:p w:rsidR="00713FF2" w:rsidRDefault="00713FF2" w:rsidP="00713FF2">
      <w:pPr>
        <w:numPr>
          <w:ilvl w:val="1"/>
          <w:numId w:val="4"/>
        </w:numPr>
        <w:spacing w:after="77"/>
        <w:ind w:hanging="360"/>
      </w:pPr>
      <w:r>
        <w:rPr>
          <w:b/>
        </w:rPr>
        <w:t xml:space="preserve">Arts and Humanities </w:t>
      </w:r>
    </w:p>
    <w:p w:rsidR="00713FF2" w:rsidRDefault="00713FF2" w:rsidP="00713FF2">
      <w:pPr>
        <w:ind w:left="-5" w:right="13"/>
      </w:pPr>
      <w:r>
        <w:t xml:space="preserve">Applicants should indicate in their online application form which Review Panel their application should be assessed by, and the subject(s) their research covers. Up to 3 subject areas can be selected in priority order, but the applicant should indicate </w:t>
      </w:r>
      <w:r>
        <w:rPr>
          <w:b/>
        </w:rPr>
        <w:t>only one Review Panel</w:t>
      </w:r>
      <w:r>
        <w:t xml:space="preserve">. </w:t>
      </w:r>
    </w:p>
    <w:p w:rsidR="00D24CE2" w:rsidRDefault="00D24CE2" w:rsidP="00D24CE2">
      <w:pPr>
        <w:spacing w:after="0"/>
        <w:ind w:left="-5" w:right="13"/>
        <w:jc w:val="both"/>
      </w:pPr>
      <w:r>
        <w:t xml:space="preserve">Proposals will be assessed by two reviewers against the criteria at Annex 3. The Review Panel then gives each application a final score from 0 to 60 and ranks them. Those receiving a final score from the Panel meeting of less than 30 will be considered not fundable. However, please note that achieving an average score equal to or above the threshold does not mean that the proposal will be funded. </w:t>
      </w:r>
    </w:p>
    <w:p w:rsidR="00D24CE2" w:rsidRDefault="00D24CE2" w:rsidP="00D24CE2">
      <w:pPr>
        <w:spacing w:after="0"/>
        <w:ind w:left="-5" w:right="13"/>
        <w:jc w:val="both"/>
      </w:pPr>
    </w:p>
    <w:p w:rsidR="00713FF2" w:rsidRDefault="00D24CE2" w:rsidP="00713FF2">
      <w:pPr>
        <w:spacing w:after="0"/>
        <w:ind w:left="-5" w:right="13"/>
      </w:pPr>
      <w:r>
        <w:t xml:space="preserve"> </w:t>
      </w:r>
      <w:r w:rsidR="00713FF2">
        <w:t xml:space="preserve">Country-specific priorities and challenge areas will be considered in the final decision, in addition to the general assessment criteria under this Programme. Please see Annex 1 for priority and challenge areas by country. </w:t>
      </w:r>
    </w:p>
    <w:p w:rsidR="00713FF2" w:rsidRDefault="00713FF2" w:rsidP="00713FF2">
      <w:pPr>
        <w:spacing w:after="0" w:line="259" w:lineRule="auto"/>
        <w:ind w:left="0" w:firstLine="0"/>
      </w:pPr>
      <w:r>
        <w:rPr>
          <w:sz w:val="20"/>
        </w:rPr>
        <w:t xml:space="preserve"> </w:t>
      </w:r>
    </w:p>
    <w:p w:rsidR="00713FF2" w:rsidRDefault="00713FF2" w:rsidP="00713FF2">
      <w:pPr>
        <w:spacing w:after="230"/>
        <w:ind w:left="-5"/>
      </w:pPr>
      <w:r>
        <w:rPr>
          <w:b/>
        </w:rPr>
        <w:t>Only proposals which have clearly articulated relevance to economic development and social welfare (as defined in section 4) will be considered for funding.</w:t>
      </w:r>
      <w:r>
        <w:t xml:space="preserve"> </w:t>
      </w:r>
    </w:p>
    <w:p w:rsidR="00BD700B" w:rsidRDefault="00BD700B" w:rsidP="00D21115">
      <w:r>
        <w:rPr>
          <w:b/>
        </w:rPr>
        <w:t xml:space="preserve">Notification of results </w:t>
      </w:r>
    </w:p>
    <w:p w:rsidR="00BD700B" w:rsidRDefault="00BD700B" w:rsidP="00861024">
      <w:pPr>
        <w:spacing w:after="230"/>
        <w:ind w:left="-5" w:right="13"/>
        <w:jc w:val="both"/>
        <w:rPr>
          <w:sz w:val="20"/>
        </w:rPr>
      </w:pPr>
      <w:r>
        <w:t xml:space="preserve">Applicants whose application is rejected at the eligibility stage will have 1 week to appeal against the decision. Successful applicants will be notified approximately 10 weeks after the call deadline. </w:t>
      </w:r>
      <w:r>
        <w:rPr>
          <w:sz w:val="20"/>
        </w:rPr>
        <w:t xml:space="preserve"> </w:t>
      </w:r>
    </w:p>
    <w:p w:rsidR="00713FF2" w:rsidRPr="00D21115" w:rsidRDefault="00D21115" w:rsidP="00D21115">
      <w:pPr>
        <w:pStyle w:val="ListParagraph"/>
        <w:numPr>
          <w:ilvl w:val="0"/>
          <w:numId w:val="10"/>
        </w:numPr>
        <w:rPr>
          <w:b/>
        </w:rPr>
      </w:pPr>
      <w:r w:rsidRPr="00D21115">
        <w:rPr>
          <w:b/>
        </w:rPr>
        <w:t>Data Protection</w:t>
      </w:r>
    </w:p>
    <w:p w:rsidR="00713FF2" w:rsidRDefault="00713FF2" w:rsidP="00713FF2">
      <w:pPr>
        <w:ind w:left="-5" w:right="13"/>
      </w:pPr>
      <w:r>
        <w:t xml:space="preserve">As part of the online application form, the British Council will ask applicants’ permission to:  </w:t>
      </w:r>
    </w:p>
    <w:p w:rsidR="00713FF2" w:rsidRDefault="00713FF2" w:rsidP="00713FF2">
      <w:pPr>
        <w:numPr>
          <w:ilvl w:val="1"/>
          <w:numId w:val="5"/>
        </w:numPr>
        <w:ind w:right="13" w:hanging="360"/>
      </w:pPr>
      <w:r>
        <w:t xml:space="preserve">Use the information provided in the application for processing the application, making any consequential award, for the award payment, monitoring, maintenance and review of the award. In some cases information will be shared with national programme partners for the purpose of selection and monitoring of the award.  </w:t>
      </w:r>
    </w:p>
    <w:p w:rsidR="00713FF2" w:rsidRDefault="00713FF2" w:rsidP="00713FF2">
      <w:pPr>
        <w:numPr>
          <w:ilvl w:val="1"/>
          <w:numId w:val="5"/>
        </w:numPr>
        <w:ind w:right="13" w:hanging="360"/>
      </w:pPr>
      <w:r>
        <w:t xml:space="preserve">Make information on the successful applications available to the public on their website and other publicity, and in reports and documents. </w:t>
      </w:r>
    </w:p>
    <w:p w:rsidR="00713FF2" w:rsidRDefault="00713FF2" w:rsidP="00713FF2">
      <w:pPr>
        <w:numPr>
          <w:ilvl w:val="1"/>
          <w:numId w:val="5"/>
        </w:numPr>
        <w:spacing w:after="184" w:line="259" w:lineRule="auto"/>
        <w:ind w:right="13" w:hanging="360"/>
      </w:pPr>
      <w:r>
        <w:t xml:space="preserve">Contact applicants in the future to inform them about future British Council opportunities. </w:t>
      </w:r>
    </w:p>
    <w:p w:rsidR="00713FF2" w:rsidRDefault="00713FF2" w:rsidP="00713FF2">
      <w:pPr>
        <w:spacing w:after="0"/>
        <w:ind w:left="-5" w:right="13"/>
      </w:pPr>
      <w:r>
        <w:t xml:space="preserve">Under UK Data Protection law applicants have the right to ask for a copy of the information we hold on them, for which we may charge a fee, and the right to ask us to correct any inaccuracies in that information. More information on this is available on the British Council data protection webpage </w:t>
      </w:r>
      <w:hyperlink r:id="rId28">
        <w:r>
          <w:t>(</w:t>
        </w:r>
      </w:hyperlink>
      <w:hyperlink r:id="rId29">
        <w:r>
          <w:rPr>
            <w:color w:val="0000FF"/>
            <w:u w:val="single" w:color="0000FF"/>
          </w:rPr>
          <w:t>http://www.britishcouncil.org/home</w:t>
        </w:r>
      </w:hyperlink>
      <w:hyperlink r:id="rId30">
        <w:r>
          <w:rPr>
            <w:color w:val="0000FF"/>
            <w:u w:val="single" w:color="0000FF"/>
          </w:rPr>
          <w:t>-</w:t>
        </w:r>
      </w:hyperlink>
      <w:hyperlink r:id="rId31">
        <w:r>
          <w:rPr>
            <w:color w:val="0000FF"/>
            <w:u w:val="single" w:color="0000FF"/>
          </w:rPr>
          <w:t>data</w:t>
        </w:r>
      </w:hyperlink>
      <w:hyperlink r:id="rId32">
        <w:r>
          <w:rPr>
            <w:color w:val="0000FF"/>
            <w:u w:val="single" w:color="0000FF"/>
          </w:rPr>
          <w:t>-</w:t>
        </w:r>
      </w:hyperlink>
      <w:hyperlink r:id="rId33">
        <w:r>
          <w:rPr>
            <w:color w:val="0000FF"/>
            <w:u w:val="single" w:color="0000FF"/>
          </w:rPr>
          <w:t>protection.htm</w:t>
        </w:r>
      </w:hyperlink>
      <w:hyperlink r:id="rId34">
        <w:r>
          <w:rPr>
            <w:color w:val="0000FF"/>
            <w:sz w:val="20"/>
            <w:u w:val="single" w:color="0000FF"/>
          </w:rPr>
          <w:t>)</w:t>
        </w:r>
      </w:hyperlink>
      <w:hyperlink r:id="rId35">
        <w:r>
          <w:t>.</w:t>
        </w:r>
      </w:hyperlink>
      <w:r>
        <w:t xml:space="preserve"> Alternatively, it can be requested to the local British Council office or the Data Protection Team at </w:t>
      </w:r>
      <w:r>
        <w:rPr>
          <w:color w:val="0000FF"/>
          <w:u w:val="single" w:color="0000FF"/>
        </w:rPr>
        <w:t>dataprotection@britishcouncil.org.</w:t>
      </w:r>
      <w:r>
        <w:rPr>
          <w:color w:val="0000FF"/>
          <w:sz w:val="20"/>
        </w:rPr>
        <w:t xml:space="preserve"> </w:t>
      </w:r>
    </w:p>
    <w:p w:rsidR="00713FF2" w:rsidRDefault="00713FF2" w:rsidP="00713FF2">
      <w:pPr>
        <w:spacing w:after="0" w:line="259" w:lineRule="auto"/>
        <w:ind w:left="0" w:firstLine="0"/>
      </w:pPr>
      <w:r>
        <w:t xml:space="preserve"> </w:t>
      </w:r>
    </w:p>
    <w:p w:rsidR="002128FE" w:rsidRPr="00861024" w:rsidRDefault="00713FF2" w:rsidP="00D24CE2">
      <w:pPr>
        <w:spacing w:after="0" w:line="259" w:lineRule="auto"/>
        <w:ind w:left="0" w:firstLine="0"/>
        <w:rPr>
          <w:b/>
        </w:rPr>
      </w:pPr>
      <w:r>
        <w:rPr>
          <w:b/>
        </w:rPr>
        <w:t xml:space="preserve"> </w:t>
      </w:r>
      <w:r w:rsidR="002128FE" w:rsidRPr="00861024">
        <w:rPr>
          <w:b/>
        </w:rPr>
        <w:t>Contact details</w:t>
      </w:r>
    </w:p>
    <w:p w:rsidR="00243000" w:rsidRDefault="00861024" w:rsidP="00D24CE2">
      <w:pPr>
        <w:pStyle w:val="Heading21"/>
        <w:numPr>
          <w:ilvl w:val="0"/>
          <w:numId w:val="0"/>
        </w:numPr>
        <w:tabs>
          <w:tab w:val="left" w:pos="1250"/>
        </w:tabs>
        <w:spacing w:before="0"/>
        <w:ind w:left="-15"/>
      </w:pPr>
      <w:r w:rsidRPr="0081289E">
        <w:rPr>
          <w:b w:val="0"/>
        </w:rPr>
        <w:t xml:space="preserve">All queries or comments about this call should be addressed to the </w:t>
      </w:r>
      <w:r>
        <w:rPr>
          <w:b w:val="0"/>
        </w:rPr>
        <w:t>Institutional Links</w:t>
      </w:r>
      <w:r w:rsidRPr="0081289E">
        <w:rPr>
          <w:b w:val="0"/>
        </w:rPr>
        <w:t xml:space="preserve"> email address </w:t>
      </w:r>
      <w:hyperlink r:id="rId36" w:history="1">
        <w:r w:rsidRPr="006A4284">
          <w:rPr>
            <w:rStyle w:val="Hyperlink"/>
            <w:b w:val="0"/>
          </w:rPr>
          <w:t>UK-ResearcherLinks@britishcouncil.org</w:t>
        </w:r>
      </w:hyperlink>
      <w:r>
        <w:rPr>
          <w:b w:val="0"/>
        </w:rPr>
        <w:t>.</w:t>
      </w:r>
    </w:p>
    <w:p w:rsidR="00243000" w:rsidRDefault="00243000" w:rsidP="0086797E">
      <w:pPr>
        <w:ind w:left="0" w:firstLine="0"/>
      </w:pPr>
    </w:p>
    <w:p w:rsidR="00B31BCD" w:rsidRDefault="00B31BCD" w:rsidP="0086797E">
      <w:pPr>
        <w:ind w:left="0" w:firstLine="0"/>
        <w:sectPr w:rsidR="00B31BCD">
          <w:footerReference w:type="even" r:id="rId37"/>
          <w:footerReference w:type="default" r:id="rId38"/>
          <w:footerReference w:type="first" r:id="rId39"/>
          <w:pgSz w:w="11906" w:h="16838"/>
          <w:pgMar w:top="709" w:right="1132" w:bottom="854" w:left="1133" w:header="720" w:footer="720" w:gutter="0"/>
          <w:cols w:space="720"/>
          <w:titlePg/>
        </w:sectPr>
      </w:pPr>
    </w:p>
    <w:p w:rsidR="00243000" w:rsidRDefault="001A69EF">
      <w:pPr>
        <w:spacing w:after="202" w:line="259" w:lineRule="auto"/>
        <w:ind w:left="0" w:firstLine="0"/>
      </w:pPr>
      <w:r>
        <w:rPr>
          <w:sz w:val="20"/>
        </w:rPr>
        <w:t xml:space="preserve">                                    </w:t>
      </w:r>
      <w:r>
        <w:rPr>
          <w:sz w:val="20"/>
        </w:rPr>
        <w:tab/>
        <w:t xml:space="preserve"> </w:t>
      </w:r>
    </w:p>
    <w:p w:rsidR="00243000" w:rsidRDefault="001A69EF">
      <w:pPr>
        <w:ind w:left="-5"/>
      </w:pPr>
      <w:r>
        <w:rPr>
          <w:b/>
        </w:rPr>
        <w:t xml:space="preserve">Annex 1 – Country-specific guidelines </w:t>
      </w:r>
    </w:p>
    <w:p w:rsidR="00243000" w:rsidRDefault="001A69EF">
      <w:pPr>
        <w:ind w:left="-5" w:right="13"/>
      </w:pPr>
      <w:r>
        <w:t>In addition to the guidance given in the main body of this document, further conditions may apply to individual participating countries. These a</w:t>
      </w:r>
      <w:r w:rsidR="006810D9">
        <w:t xml:space="preserve">re specified in the table below. </w:t>
      </w:r>
      <w:r>
        <w:rPr>
          <w:b/>
        </w:rPr>
        <w:t xml:space="preserve">Please </w:t>
      </w:r>
      <w:r w:rsidR="00DB5A95">
        <w:rPr>
          <w:b/>
        </w:rPr>
        <w:t xml:space="preserve">refer </w:t>
      </w:r>
      <w:r>
        <w:rPr>
          <w:b/>
        </w:rPr>
        <w:t>to th</w:t>
      </w:r>
      <w:r w:rsidR="00DB5A95">
        <w:rPr>
          <w:b/>
        </w:rPr>
        <w:t xml:space="preserve">is </w:t>
      </w:r>
      <w:r>
        <w:rPr>
          <w:b/>
        </w:rPr>
        <w:t xml:space="preserve">annex for more information before developing your proposal. </w:t>
      </w:r>
    </w:p>
    <w:p w:rsidR="00243000" w:rsidRDefault="001A69EF">
      <w:pPr>
        <w:spacing w:after="10"/>
        <w:ind w:left="-5" w:right="13"/>
      </w:pPr>
      <w:r>
        <w:rPr>
          <w:b/>
        </w:rPr>
        <w:t>Note on the definition of early career researchers:</w:t>
      </w:r>
      <w:r>
        <w:t xml:space="preserve"> For the purpose of this call, we define 'early career researcher' as being at the level of ‘R2 – </w:t>
      </w:r>
    </w:p>
    <w:p w:rsidR="00243000" w:rsidRDefault="001A69EF">
      <w:pPr>
        <w:spacing w:after="0"/>
        <w:ind w:left="-5" w:right="13"/>
      </w:pPr>
      <w:r>
        <w:t xml:space="preserve">Recognized Researcher’ or at the very beginning of R3 level as specified in the European Framework for Research Careers ‘Towards a European framework for research careers’ for guidance on early career researcher profiles </w:t>
      </w:r>
    </w:p>
    <w:p w:rsidR="00243000" w:rsidRDefault="003C1241">
      <w:pPr>
        <w:ind w:left="-5" w:right="13"/>
      </w:pPr>
      <w:hyperlink r:id="rId40">
        <w:r w:rsidR="001A69EF">
          <w:t>(</w:t>
        </w:r>
      </w:hyperlink>
      <w:hyperlink r:id="rId41">
        <w:r w:rsidR="001A69EF">
          <w:rPr>
            <w:color w:val="0000FF"/>
            <w:u w:val="single" w:color="0000FF"/>
          </w:rPr>
          <w:t>http://ec.europa.eu/euraxess/pdf/research_policies/Towards_a_European_Framework_for_Research_Careers_final.pdf</w:t>
        </w:r>
      </w:hyperlink>
      <w:hyperlink r:id="rId42">
        <w:r w:rsidR="001A69EF">
          <w:t xml:space="preserve"> </w:t>
        </w:r>
      </w:hyperlink>
      <w:r w:rsidR="001A69EF">
        <w:t xml:space="preserve">). We would expect early career researchers to be at the beginning of their research careers and to have been awarded their PhD not more than 10 years prior to applying for the Travel Grants, but allowances can be made for career breaks or other extenuating circumstances. If a researcher does not hold a PhD, but has research experience equivalent to a PhD holder and works in a field where a PhD is not a pre-requisite for established research activity, they will still be considered eligible. </w:t>
      </w:r>
    </w:p>
    <w:p w:rsidR="00243000" w:rsidRDefault="001A69EF" w:rsidP="000B40EF">
      <w:pPr>
        <w:spacing w:line="240" w:lineRule="auto"/>
        <w:ind w:left="-5" w:right="13"/>
      </w:pPr>
      <w:r>
        <w:rPr>
          <w:b/>
        </w:rPr>
        <w:t xml:space="preserve">Note on country/partner research priorities: </w:t>
      </w:r>
      <w:r>
        <w:t xml:space="preserve">Please note that proposals can only be within the research challenge areas listed in Section 4. In addition some countries have specified research priorities within these challenge areas. </w:t>
      </w:r>
    </w:p>
    <w:p w:rsidR="00243000" w:rsidRDefault="001A69EF">
      <w:pPr>
        <w:spacing w:after="0" w:line="259" w:lineRule="auto"/>
        <w:ind w:left="0" w:firstLine="0"/>
      </w:pPr>
      <w:r>
        <w:t xml:space="preserve"> </w:t>
      </w:r>
    </w:p>
    <w:tbl>
      <w:tblPr>
        <w:tblStyle w:val="TableGrid"/>
        <w:tblW w:w="14390" w:type="dxa"/>
        <w:tblInd w:w="-107" w:type="dxa"/>
        <w:tblLayout w:type="fixed"/>
        <w:tblCellMar>
          <w:top w:w="6" w:type="dxa"/>
          <w:left w:w="107" w:type="dxa"/>
          <w:right w:w="51" w:type="dxa"/>
        </w:tblCellMar>
        <w:tblLook w:val="04A0" w:firstRow="1" w:lastRow="0" w:firstColumn="1" w:lastColumn="0" w:noHBand="0" w:noVBand="1"/>
      </w:tblPr>
      <w:tblGrid>
        <w:gridCol w:w="1487"/>
        <w:gridCol w:w="3690"/>
        <w:gridCol w:w="1417"/>
        <w:gridCol w:w="3402"/>
        <w:gridCol w:w="4394"/>
      </w:tblGrid>
      <w:tr w:rsidR="004E3582" w:rsidRPr="00DB5A95" w:rsidTr="00513359">
        <w:trPr>
          <w:trHeight w:val="900"/>
        </w:trPr>
        <w:tc>
          <w:tcPr>
            <w:tcW w:w="1487" w:type="dxa"/>
            <w:tcBorders>
              <w:top w:val="single" w:sz="4" w:space="0" w:color="000000"/>
              <w:left w:val="single" w:sz="4" w:space="0" w:color="000000"/>
              <w:bottom w:val="single" w:sz="4" w:space="0" w:color="000000"/>
              <w:right w:val="single" w:sz="4" w:space="0" w:color="000000"/>
            </w:tcBorders>
            <w:shd w:val="clear" w:color="auto" w:fill="D9D9D9"/>
          </w:tcPr>
          <w:p w:rsidR="004E3582" w:rsidRPr="004E3582" w:rsidRDefault="004E3582">
            <w:pPr>
              <w:spacing w:after="0" w:line="259" w:lineRule="auto"/>
              <w:ind w:left="0" w:firstLine="0"/>
            </w:pPr>
            <w:r w:rsidRPr="004E3582">
              <w:rPr>
                <w:b/>
              </w:rPr>
              <w:t xml:space="preserve">Partner country </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Pr>
          <w:p w:rsidR="004E3582" w:rsidRPr="004E3582" w:rsidRDefault="004E3582" w:rsidP="00513359">
            <w:pPr>
              <w:spacing w:after="0" w:line="259" w:lineRule="auto"/>
              <w:ind w:left="1" w:firstLine="0"/>
            </w:pPr>
            <w:r w:rsidRPr="004E3582">
              <w:rPr>
                <w:b/>
              </w:rPr>
              <w:t xml:space="preserve">In-country partner organisation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4E3582" w:rsidRPr="004E3582" w:rsidRDefault="004E3582">
            <w:pPr>
              <w:spacing w:after="0" w:line="259" w:lineRule="auto"/>
              <w:ind w:left="1" w:firstLine="0"/>
              <w:jc w:val="both"/>
            </w:pPr>
            <w:r w:rsidRPr="004E3582">
              <w:rPr>
                <w:b/>
              </w:rPr>
              <w:t xml:space="preserve">Maximum </w:t>
            </w:r>
          </w:p>
          <w:p w:rsidR="004E3582" w:rsidRPr="004E3582" w:rsidRDefault="004E3582" w:rsidP="00DB5A95">
            <w:pPr>
              <w:spacing w:after="82" w:line="241" w:lineRule="auto"/>
              <w:ind w:left="1" w:firstLine="0"/>
            </w:pPr>
            <w:r w:rsidRPr="004E3582">
              <w:rPr>
                <w:b/>
              </w:rPr>
              <w:t xml:space="preserve">duration of the visit </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Pr>
          <w:p w:rsidR="004E3582" w:rsidRPr="004E3582" w:rsidRDefault="004E3582">
            <w:pPr>
              <w:spacing w:after="82" w:line="241" w:lineRule="auto"/>
              <w:ind w:left="1" w:firstLine="0"/>
            </w:pPr>
            <w:r w:rsidRPr="004E3582">
              <w:rPr>
                <w:b/>
              </w:rPr>
              <w:t xml:space="preserve">Country/partner research priorities </w:t>
            </w:r>
            <w:r w:rsidRPr="004E3582">
              <w:t xml:space="preserve"> </w:t>
            </w:r>
            <w:r w:rsidR="00513359" w:rsidRPr="004E3582">
              <w:rPr>
                <w:b/>
                <w:vertAlign w:val="superscript"/>
              </w:rPr>
              <w:footnoteReference w:id="1"/>
            </w:r>
          </w:p>
          <w:p w:rsidR="004E3582" w:rsidRPr="004E3582" w:rsidRDefault="004E3582">
            <w:pPr>
              <w:spacing w:after="0" w:line="259" w:lineRule="auto"/>
              <w:ind w:left="1" w:firstLine="0"/>
            </w:pPr>
            <w:r w:rsidRPr="004E3582">
              <w:rPr>
                <w:b/>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E3582" w:rsidRPr="004E3582" w:rsidRDefault="004E3582" w:rsidP="004E3582">
            <w:pPr>
              <w:spacing w:after="82" w:line="241" w:lineRule="auto"/>
              <w:ind w:left="0" w:firstLine="0"/>
              <w:jc w:val="center"/>
            </w:pPr>
            <w:r w:rsidRPr="004E3582">
              <w:rPr>
                <w:b/>
              </w:rPr>
              <w:t>Additional eligibility criteria</w:t>
            </w:r>
          </w:p>
          <w:p w:rsidR="004E3582" w:rsidRPr="004E3582" w:rsidRDefault="004E3582" w:rsidP="004E3582">
            <w:pPr>
              <w:spacing w:after="0" w:line="259" w:lineRule="auto"/>
              <w:ind w:left="0" w:firstLine="0"/>
              <w:jc w:val="center"/>
            </w:pPr>
          </w:p>
        </w:tc>
      </w:tr>
      <w:tr w:rsidR="00513359" w:rsidRPr="004E3582" w:rsidTr="00513359">
        <w:tblPrEx>
          <w:tblCellMar>
            <w:top w:w="9" w:type="dxa"/>
            <w:left w:w="106" w:type="dxa"/>
            <w:right w:w="55" w:type="dxa"/>
          </w:tblCellMar>
        </w:tblPrEx>
        <w:trPr>
          <w:trHeight w:val="969"/>
        </w:trPr>
        <w:tc>
          <w:tcPr>
            <w:tcW w:w="1487" w:type="dxa"/>
            <w:tcBorders>
              <w:top w:val="single" w:sz="4" w:space="0" w:color="000000"/>
              <w:left w:val="single" w:sz="4" w:space="0" w:color="000000"/>
              <w:bottom w:val="single" w:sz="4" w:space="0" w:color="000000"/>
              <w:right w:val="single" w:sz="4" w:space="0" w:color="000000"/>
            </w:tcBorders>
            <w:vAlign w:val="center"/>
          </w:tcPr>
          <w:p w:rsidR="00513359" w:rsidRPr="004E3582" w:rsidRDefault="00513359" w:rsidP="00513359">
            <w:pPr>
              <w:spacing w:after="0" w:line="259" w:lineRule="auto"/>
              <w:ind w:left="2" w:firstLine="0"/>
              <w:rPr>
                <w:b/>
                <w:color w:val="auto"/>
              </w:rPr>
            </w:pPr>
            <w:r>
              <w:rPr>
                <w:b/>
                <w:color w:val="auto"/>
              </w:rPr>
              <w:t>Vietnam</w:t>
            </w:r>
          </w:p>
        </w:tc>
        <w:tc>
          <w:tcPr>
            <w:tcW w:w="3690" w:type="dxa"/>
            <w:tcBorders>
              <w:top w:val="single" w:sz="4" w:space="0" w:color="000000"/>
              <w:left w:val="single" w:sz="4" w:space="0" w:color="000000"/>
              <w:bottom w:val="single" w:sz="4" w:space="0" w:color="000000"/>
              <w:right w:val="single" w:sz="4" w:space="0" w:color="000000"/>
            </w:tcBorders>
            <w:vAlign w:val="center"/>
          </w:tcPr>
          <w:p w:rsidR="00513359" w:rsidRPr="004E3582" w:rsidRDefault="00513359" w:rsidP="00513359">
            <w:pPr>
              <w:spacing w:after="0" w:line="259" w:lineRule="auto"/>
              <w:ind w:left="0" w:firstLine="0"/>
            </w:pPr>
            <w:r w:rsidRPr="006810D9">
              <w:t>NAFOSTED</w:t>
            </w:r>
          </w:p>
        </w:tc>
        <w:tc>
          <w:tcPr>
            <w:tcW w:w="1417" w:type="dxa"/>
            <w:tcBorders>
              <w:top w:val="single" w:sz="4" w:space="0" w:color="000000"/>
              <w:left w:val="single" w:sz="4" w:space="0" w:color="000000"/>
              <w:bottom w:val="single" w:sz="4" w:space="0" w:color="000000"/>
              <w:right w:val="single" w:sz="4" w:space="0" w:color="000000"/>
            </w:tcBorders>
            <w:vAlign w:val="center"/>
          </w:tcPr>
          <w:p w:rsidR="00513359" w:rsidRPr="004E3582" w:rsidRDefault="00513359" w:rsidP="00513359">
            <w:pPr>
              <w:spacing w:after="0" w:line="259" w:lineRule="auto"/>
              <w:ind w:left="2" w:firstLine="0"/>
            </w:pPr>
            <w:r>
              <w:t>6 months</w:t>
            </w:r>
          </w:p>
        </w:tc>
        <w:tc>
          <w:tcPr>
            <w:tcW w:w="3402" w:type="dxa"/>
            <w:tcBorders>
              <w:top w:val="single" w:sz="4" w:space="0" w:color="000000"/>
              <w:left w:val="single" w:sz="4" w:space="0" w:color="000000"/>
              <w:bottom w:val="single" w:sz="4" w:space="0" w:color="000000"/>
              <w:right w:val="single" w:sz="4" w:space="0" w:color="000000"/>
            </w:tcBorders>
            <w:vAlign w:val="center"/>
          </w:tcPr>
          <w:p w:rsidR="00513359" w:rsidRPr="008767DD" w:rsidRDefault="00513359" w:rsidP="00513359">
            <w:pPr>
              <w:spacing w:before="90" w:line="240" w:lineRule="auto"/>
              <w:ind w:right="-23"/>
              <w:rPr>
                <w:b/>
                <w:bCs/>
              </w:rPr>
            </w:pPr>
            <w:r w:rsidRPr="008767DD">
              <w:rPr>
                <w:b/>
                <w:bCs/>
              </w:rPr>
              <w:t>Focu</w:t>
            </w:r>
            <w:r>
              <w:rPr>
                <w:b/>
                <w:bCs/>
              </w:rPr>
              <w:t>s</w:t>
            </w:r>
            <w:r w:rsidRPr="008767DD">
              <w:rPr>
                <w:b/>
                <w:bCs/>
              </w:rPr>
              <w:t xml:space="preserve"> Areas:</w:t>
            </w:r>
          </w:p>
          <w:p w:rsidR="00513359" w:rsidRDefault="00513359" w:rsidP="00513359">
            <w:pPr>
              <w:pStyle w:val="ListParagraph"/>
              <w:widowControl w:val="0"/>
              <w:numPr>
                <w:ilvl w:val="0"/>
                <w:numId w:val="17"/>
              </w:numPr>
              <w:spacing w:before="90" w:after="0" w:line="240" w:lineRule="auto"/>
              <w:ind w:left="423" w:right="-23"/>
            </w:pPr>
            <w:r w:rsidRPr="005C776D">
              <w:t>Health &amp; life sciences</w:t>
            </w:r>
          </w:p>
          <w:p w:rsidR="00513359" w:rsidRDefault="00513359" w:rsidP="00513359">
            <w:pPr>
              <w:pStyle w:val="ListParagraph"/>
              <w:widowControl w:val="0"/>
              <w:numPr>
                <w:ilvl w:val="0"/>
                <w:numId w:val="17"/>
              </w:numPr>
              <w:spacing w:before="90" w:after="0" w:line="240" w:lineRule="auto"/>
              <w:ind w:left="423" w:right="-23"/>
            </w:pPr>
            <w:r w:rsidRPr="005C776D">
              <w:t>Improving environmental resilience and energy security</w:t>
            </w:r>
          </w:p>
          <w:p w:rsidR="00513359" w:rsidRDefault="00513359" w:rsidP="00513359">
            <w:pPr>
              <w:pStyle w:val="ListParagraph"/>
              <w:widowControl w:val="0"/>
              <w:numPr>
                <w:ilvl w:val="0"/>
                <w:numId w:val="17"/>
              </w:numPr>
              <w:spacing w:before="90" w:after="0" w:line="240" w:lineRule="auto"/>
              <w:ind w:left="423" w:right="-23"/>
            </w:pPr>
            <w:r w:rsidRPr="005C776D">
              <w:t>Future Cities</w:t>
            </w:r>
          </w:p>
          <w:p w:rsidR="00513359" w:rsidRDefault="00513359" w:rsidP="00513359">
            <w:pPr>
              <w:pStyle w:val="ListParagraph"/>
              <w:widowControl w:val="0"/>
              <w:numPr>
                <w:ilvl w:val="0"/>
                <w:numId w:val="17"/>
              </w:numPr>
              <w:spacing w:before="90" w:after="0" w:line="240" w:lineRule="auto"/>
              <w:ind w:left="423" w:right="-23"/>
            </w:pPr>
            <w:proofErr w:type="spellStart"/>
            <w:r>
              <w:t>Agritech</w:t>
            </w:r>
            <w:proofErr w:type="spellEnd"/>
          </w:p>
          <w:p w:rsidR="00513359" w:rsidRDefault="00513359" w:rsidP="00513359">
            <w:pPr>
              <w:pStyle w:val="ListParagraph"/>
              <w:widowControl w:val="0"/>
              <w:numPr>
                <w:ilvl w:val="0"/>
                <w:numId w:val="17"/>
              </w:numPr>
              <w:spacing w:before="90" w:after="0" w:line="240" w:lineRule="auto"/>
              <w:ind w:left="423" w:right="-23"/>
            </w:pPr>
            <w:r w:rsidRPr="005C776D">
              <w:t>Digital, Innovation &amp; Creativity</w:t>
            </w:r>
          </w:p>
          <w:p w:rsidR="00513359" w:rsidRPr="004E3582" w:rsidRDefault="00513359" w:rsidP="00513359">
            <w:pPr>
              <w:spacing w:after="0" w:line="259" w:lineRule="auto"/>
              <w:ind w:left="358" w:right="126" w:firstLine="0"/>
            </w:pPr>
          </w:p>
        </w:tc>
        <w:tc>
          <w:tcPr>
            <w:tcW w:w="4394" w:type="dxa"/>
            <w:tcBorders>
              <w:top w:val="single" w:sz="4" w:space="0" w:color="000000"/>
              <w:left w:val="single" w:sz="4" w:space="0" w:color="000000"/>
              <w:bottom w:val="single" w:sz="4" w:space="0" w:color="000000"/>
              <w:right w:val="single" w:sz="4" w:space="0" w:color="000000"/>
            </w:tcBorders>
            <w:vAlign w:val="center"/>
          </w:tcPr>
          <w:p w:rsidR="00513359" w:rsidRPr="004E3582" w:rsidRDefault="00513359" w:rsidP="00513359">
            <w:pPr>
              <w:spacing w:after="0" w:line="259" w:lineRule="auto"/>
              <w:ind w:left="0" w:firstLine="0"/>
            </w:pPr>
            <w:r>
              <w:t>Earlier and Senior career researchers can apply.</w:t>
            </w:r>
          </w:p>
        </w:tc>
      </w:tr>
    </w:tbl>
    <w:p w:rsidR="00243000" w:rsidRPr="00DB5A95" w:rsidRDefault="00243000">
      <w:pPr>
        <w:rPr>
          <w:sz w:val="20"/>
          <w:szCs w:val="20"/>
        </w:rPr>
        <w:sectPr w:rsidR="00243000" w:rsidRPr="00DB5A95">
          <w:footerReference w:type="even" r:id="rId43"/>
          <w:footerReference w:type="default" r:id="rId44"/>
          <w:footerReference w:type="first" r:id="rId45"/>
          <w:pgSz w:w="16838" w:h="11906" w:orient="landscape"/>
          <w:pgMar w:top="713" w:right="1141" w:bottom="1135" w:left="852" w:header="720" w:footer="720" w:gutter="0"/>
          <w:cols w:space="720"/>
          <w:titlePg/>
        </w:sectPr>
      </w:pPr>
    </w:p>
    <w:p w:rsidR="00243000" w:rsidRDefault="001A69EF">
      <w:pPr>
        <w:spacing w:after="10"/>
        <w:ind w:left="-5"/>
      </w:pPr>
      <w:r>
        <w:rPr>
          <w:b/>
        </w:rPr>
        <w:t xml:space="preserve">Annex 2 – Eligibility Criteria checklist  </w:t>
      </w:r>
    </w:p>
    <w:p w:rsidR="00243000" w:rsidRDefault="001A69EF">
      <w:pPr>
        <w:spacing w:after="0" w:line="259" w:lineRule="auto"/>
        <w:ind w:left="0" w:firstLine="0"/>
      </w:pPr>
      <w:r>
        <w:t xml:space="preserve"> </w:t>
      </w:r>
    </w:p>
    <w:tbl>
      <w:tblPr>
        <w:tblStyle w:val="TableGrid"/>
        <w:tblW w:w="9290" w:type="dxa"/>
        <w:tblInd w:w="-108" w:type="dxa"/>
        <w:tblCellMar>
          <w:left w:w="108" w:type="dxa"/>
          <w:right w:w="47" w:type="dxa"/>
        </w:tblCellMar>
        <w:tblLook w:val="04A0" w:firstRow="1" w:lastRow="0" w:firstColumn="1" w:lastColumn="0" w:noHBand="0" w:noVBand="1"/>
      </w:tblPr>
      <w:tblGrid>
        <w:gridCol w:w="8304"/>
        <w:gridCol w:w="986"/>
      </w:tblGrid>
      <w:tr w:rsidR="00243000">
        <w:trPr>
          <w:trHeight w:val="569"/>
        </w:trPr>
        <w:tc>
          <w:tcPr>
            <w:tcW w:w="8304"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0" w:firstLine="0"/>
            </w:pPr>
            <w:r>
              <w:t xml:space="preserve">The application has been submitted by the applicant by the published deadline. </w:t>
            </w:r>
          </w:p>
        </w:tc>
        <w:tc>
          <w:tcPr>
            <w:tcW w:w="986"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4" w:firstLine="0"/>
              <w:jc w:val="center"/>
            </w:pPr>
            <w:r>
              <w:rPr>
                <w:b/>
                <w:sz w:val="24"/>
              </w:rPr>
              <w:t xml:space="preserve"> </w:t>
            </w:r>
          </w:p>
        </w:tc>
      </w:tr>
      <w:tr w:rsidR="00243000">
        <w:trPr>
          <w:trHeight w:val="566"/>
        </w:trPr>
        <w:tc>
          <w:tcPr>
            <w:tcW w:w="8304"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0" w:firstLine="0"/>
            </w:pPr>
            <w:r>
              <w:t xml:space="preserve">The application has been submitted using the correct online application form. </w:t>
            </w:r>
          </w:p>
        </w:tc>
        <w:tc>
          <w:tcPr>
            <w:tcW w:w="986"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4" w:firstLine="0"/>
              <w:jc w:val="center"/>
            </w:pPr>
            <w:r>
              <w:rPr>
                <w:b/>
                <w:sz w:val="24"/>
              </w:rPr>
              <w:t xml:space="preserve"> </w:t>
            </w:r>
          </w:p>
        </w:tc>
      </w:tr>
      <w:tr w:rsidR="00243000" w:rsidTr="004E3582">
        <w:trPr>
          <w:trHeight w:val="361"/>
        </w:trPr>
        <w:tc>
          <w:tcPr>
            <w:tcW w:w="8304"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0" w:firstLine="0"/>
            </w:pPr>
            <w:r>
              <w:t xml:space="preserve">The applicant has enclosed the 2 supplementary documents required.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4" w:firstLine="0"/>
              <w:jc w:val="center"/>
            </w:pPr>
            <w:r>
              <w:rPr>
                <w:b/>
                <w:sz w:val="24"/>
              </w:rPr>
              <w:t xml:space="preserve"> </w:t>
            </w:r>
          </w:p>
        </w:tc>
      </w:tr>
      <w:tr w:rsidR="00243000">
        <w:trPr>
          <w:trHeight w:val="569"/>
        </w:trPr>
        <w:tc>
          <w:tcPr>
            <w:tcW w:w="8304"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0" w:firstLine="0"/>
            </w:pPr>
            <w:r>
              <w:t xml:space="preserve">The application form is completed in full and complies with instructions given. </w:t>
            </w:r>
          </w:p>
        </w:tc>
        <w:tc>
          <w:tcPr>
            <w:tcW w:w="986"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4" w:firstLine="0"/>
              <w:jc w:val="center"/>
            </w:pPr>
            <w:r>
              <w:rPr>
                <w:b/>
                <w:sz w:val="24"/>
              </w:rPr>
              <w:t xml:space="preserve"> </w:t>
            </w:r>
          </w:p>
        </w:tc>
      </w:tr>
      <w:tr w:rsidR="00243000">
        <w:trPr>
          <w:trHeight w:val="566"/>
        </w:trPr>
        <w:tc>
          <w:tcPr>
            <w:tcW w:w="8304"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0" w:firstLine="0"/>
            </w:pPr>
            <w:r>
              <w:t xml:space="preserve">The application form and supporting documents have been completed in English. </w:t>
            </w:r>
          </w:p>
        </w:tc>
        <w:tc>
          <w:tcPr>
            <w:tcW w:w="986"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4" w:firstLine="0"/>
              <w:jc w:val="center"/>
            </w:pPr>
            <w:r>
              <w:rPr>
                <w:b/>
                <w:sz w:val="24"/>
              </w:rPr>
              <w:t xml:space="preserve"> </w:t>
            </w:r>
          </w:p>
        </w:tc>
      </w:tr>
      <w:tr w:rsidR="00243000">
        <w:trPr>
          <w:trHeight w:val="850"/>
        </w:trPr>
        <w:tc>
          <w:tcPr>
            <w:tcW w:w="8304"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0" w:firstLine="0"/>
              <w:jc w:val="both"/>
            </w:pPr>
            <w:r>
              <w:t xml:space="preserve">The applicant has submitted only 1 application under this call for Travel Grant proposals (call </w:t>
            </w:r>
            <w:r w:rsidR="00BB1955">
              <w:t>April</w:t>
            </w:r>
            <w:r>
              <w:t xml:space="preserve"> 201</w:t>
            </w:r>
            <w:r w:rsidR="00BB1955">
              <w:t>5</w:t>
            </w:r>
            <w:r>
              <w:t xml:space="preserve">).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4" w:firstLine="0"/>
              <w:jc w:val="center"/>
            </w:pPr>
            <w:r>
              <w:rPr>
                <w:b/>
                <w:sz w:val="24"/>
              </w:rPr>
              <w:t xml:space="preserve"> </w:t>
            </w:r>
          </w:p>
        </w:tc>
      </w:tr>
      <w:tr w:rsidR="00243000">
        <w:trPr>
          <w:trHeight w:val="852"/>
        </w:trPr>
        <w:tc>
          <w:tcPr>
            <w:tcW w:w="8304"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0" w:firstLine="0"/>
            </w:pPr>
            <w:r>
              <w:t xml:space="preserve"> </w:t>
            </w:r>
          </w:p>
          <w:p w:rsidR="00243000" w:rsidRDefault="001A69EF">
            <w:pPr>
              <w:spacing w:after="0" w:line="259" w:lineRule="auto"/>
              <w:ind w:left="0" w:firstLine="0"/>
              <w:jc w:val="both"/>
            </w:pPr>
            <w:r>
              <w:t>The home institution is based in one of the countries eligible under this call for Travel Grant proposals (</w:t>
            </w:r>
            <w:r w:rsidR="00BB1955">
              <w:t>April</w:t>
            </w:r>
            <w:r>
              <w:t xml:space="preserve"> 201</w:t>
            </w:r>
            <w:r w:rsidR="00BB1955">
              <w:t>5</w:t>
            </w:r>
            <w:r>
              <w:t xml:space="preserve">).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4" w:firstLine="0"/>
              <w:jc w:val="center"/>
            </w:pPr>
            <w:r>
              <w:rPr>
                <w:b/>
                <w:sz w:val="24"/>
              </w:rPr>
              <w:t xml:space="preserve"> </w:t>
            </w:r>
          </w:p>
        </w:tc>
      </w:tr>
      <w:tr w:rsidR="00243000">
        <w:trPr>
          <w:trHeight w:val="852"/>
        </w:trPr>
        <w:tc>
          <w:tcPr>
            <w:tcW w:w="8304"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0" w:firstLine="0"/>
              <w:jc w:val="both"/>
            </w:pPr>
            <w:r>
              <w:t>The host institution is based in one of the countries eligible under this call for Travel Grants (</w:t>
            </w:r>
            <w:r w:rsidR="00BB1955">
              <w:t>April</w:t>
            </w:r>
            <w:r>
              <w:t xml:space="preserve"> 201</w:t>
            </w:r>
            <w:r w:rsidR="00BB1955">
              <w:t>5</w:t>
            </w:r>
            <w:r>
              <w:t>).</w:t>
            </w:r>
            <w:r>
              <w:rPr>
                <w:sz w:val="24"/>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4" w:firstLine="0"/>
              <w:jc w:val="center"/>
            </w:pPr>
            <w:r>
              <w:rPr>
                <w:b/>
                <w:sz w:val="24"/>
              </w:rPr>
              <w:t xml:space="preserve"> </w:t>
            </w:r>
          </w:p>
        </w:tc>
      </w:tr>
      <w:tr w:rsidR="00243000" w:rsidTr="00DB5A95">
        <w:trPr>
          <w:trHeight w:val="1986"/>
        </w:trPr>
        <w:tc>
          <w:tcPr>
            <w:tcW w:w="8304" w:type="dxa"/>
            <w:tcBorders>
              <w:top w:val="single" w:sz="4" w:space="0" w:color="000000"/>
              <w:left w:val="single" w:sz="4" w:space="0" w:color="000000"/>
              <w:bottom w:val="single" w:sz="4" w:space="0" w:color="000000"/>
              <w:right w:val="single" w:sz="4" w:space="0" w:color="000000"/>
            </w:tcBorders>
            <w:vAlign w:val="center"/>
          </w:tcPr>
          <w:p w:rsidR="00243000" w:rsidRDefault="001A69EF" w:rsidP="00DB5A95">
            <w:pPr>
              <w:spacing w:after="241" w:line="247" w:lineRule="auto"/>
              <w:ind w:left="0" w:right="34" w:firstLine="0"/>
            </w:pPr>
            <w:r>
              <w:t>The applicant is an early career researcher</w:t>
            </w:r>
            <w:r>
              <w:rPr>
                <w:sz w:val="24"/>
              </w:rPr>
              <w:t xml:space="preserve"> (</w:t>
            </w:r>
            <w:r>
              <w:rPr>
                <w:i/>
                <w:sz w:val="20"/>
              </w:rPr>
              <w:t>The term 'early career researcher' refers to researchers at the beginning of their research careers. We would expect early career researchers to have been awarded their PhD not more than 10 years prior to applying for the Travel Grant, but allowances can be made for career breaks or other extenuating circumstances. If a researcher does not hold a PhD, but has research experience equivalent to a PhD holder and works in a field where a PhD is not a pre-requisite for established research activity, they will still be considered eligible</w:t>
            </w:r>
            <w:r>
              <w:rPr>
                <w:sz w:val="24"/>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0" w:firstLine="0"/>
            </w:pPr>
            <w:r>
              <w:rPr>
                <w:b/>
                <w:sz w:val="24"/>
              </w:rPr>
              <w:t xml:space="preserve"> </w:t>
            </w:r>
          </w:p>
        </w:tc>
      </w:tr>
      <w:tr w:rsidR="00243000" w:rsidTr="00DB5A95">
        <w:trPr>
          <w:trHeight w:val="711"/>
        </w:trPr>
        <w:tc>
          <w:tcPr>
            <w:tcW w:w="8304" w:type="dxa"/>
            <w:tcBorders>
              <w:top w:val="single" w:sz="4" w:space="0" w:color="000000"/>
              <w:left w:val="single" w:sz="4" w:space="0" w:color="000000"/>
              <w:bottom w:val="single" w:sz="4" w:space="0" w:color="000000"/>
              <w:right w:val="single" w:sz="4" w:space="0" w:color="000000"/>
            </w:tcBorders>
          </w:tcPr>
          <w:p w:rsidR="00243000" w:rsidRDefault="001A69EF" w:rsidP="00DB5A95">
            <w:pPr>
              <w:spacing w:after="120" w:line="238" w:lineRule="auto"/>
              <w:ind w:left="0" w:firstLine="0"/>
            </w:pPr>
            <w:r>
              <w:t xml:space="preserve">The international mobility happens between the UK and one of the participating countries or vice versa. </w:t>
            </w:r>
            <w:r>
              <w:rPr>
                <w:b/>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4" w:firstLine="0"/>
              <w:jc w:val="center"/>
            </w:pPr>
            <w:r>
              <w:rPr>
                <w:b/>
                <w:sz w:val="24"/>
              </w:rPr>
              <w:t xml:space="preserve"> </w:t>
            </w:r>
          </w:p>
        </w:tc>
      </w:tr>
      <w:tr w:rsidR="00243000">
        <w:trPr>
          <w:trHeight w:val="1020"/>
        </w:trPr>
        <w:tc>
          <w:tcPr>
            <w:tcW w:w="8304"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0" w:firstLine="0"/>
            </w:pPr>
            <w:r>
              <w:t xml:space="preserve">The applicant will return to his/her home institution in a research capacity for at least six months after the end of the visit (demonstrated via the supporting letter from the institution).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4" w:firstLine="0"/>
              <w:jc w:val="center"/>
            </w:pPr>
            <w:r>
              <w:rPr>
                <w:b/>
                <w:sz w:val="24"/>
              </w:rPr>
              <w:t xml:space="preserve"> </w:t>
            </w:r>
          </w:p>
        </w:tc>
      </w:tr>
      <w:tr w:rsidR="00243000">
        <w:trPr>
          <w:trHeight w:val="862"/>
        </w:trPr>
        <w:tc>
          <w:tcPr>
            <w:tcW w:w="8304"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0" w:firstLine="0"/>
            </w:pPr>
            <w:r>
              <w:t xml:space="preserve">The home institution is a recognised publicly funded research establishment or Higher Education Institution (can include private Universities).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4" w:firstLine="0"/>
              <w:jc w:val="center"/>
            </w:pPr>
            <w:r>
              <w:rPr>
                <w:b/>
                <w:sz w:val="24"/>
              </w:rPr>
              <w:t xml:space="preserve"> </w:t>
            </w:r>
          </w:p>
        </w:tc>
      </w:tr>
      <w:tr w:rsidR="00243000">
        <w:trPr>
          <w:trHeight w:val="862"/>
        </w:trPr>
        <w:tc>
          <w:tcPr>
            <w:tcW w:w="8304"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0" w:firstLine="0"/>
            </w:pPr>
            <w:r>
              <w:t xml:space="preserve">The host institution is a recognised publicly funded research establishment or Higher Education Institution (can include private Universities).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4" w:firstLine="0"/>
              <w:jc w:val="center"/>
            </w:pPr>
            <w:r>
              <w:rPr>
                <w:b/>
                <w:sz w:val="24"/>
              </w:rPr>
              <w:t xml:space="preserve"> </w:t>
            </w:r>
          </w:p>
        </w:tc>
      </w:tr>
      <w:tr w:rsidR="00243000">
        <w:trPr>
          <w:trHeight w:val="859"/>
        </w:trPr>
        <w:tc>
          <w:tcPr>
            <w:tcW w:w="8304"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0" w:firstLine="0"/>
            </w:pPr>
            <w:r>
              <w:t xml:space="preserve">The applicant has not received a Researcher Links Travel Grants within the 2013 and 2014 Call for Researcher Links Travel Grants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4" w:firstLine="0"/>
              <w:jc w:val="center"/>
            </w:pPr>
            <w:r>
              <w:rPr>
                <w:b/>
                <w:sz w:val="24"/>
              </w:rPr>
              <w:t xml:space="preserve"> </w:t>
            </w:r>
          </w:p>
        </w:tc>
      </w:tr>
      <w:tr w:rsidR="00243000">
        <w:trPr>
          <w:trHeight w:val="1143"/>
        </w:trPr>
        <w:tc>
          <w:tcPr>
            <w:tcW w:w="8304" w:type="dxa"/>
            <w:tcBorders>
              <w:top w:val="single" w:sz="4" w:space="0" w:color="000000"/>
              <w:left w:val="single" w:sz="4" w:space="0" w:color="000000"/>
              <w:bottom w:val="single" w:sz="4" w:space="0" w:color="000000"/>
              <w:right w:val="single" w:sz="4" w:space="0" w:color="000000"/>
            </w:tcBorders>
            <w:vAlign w:val="bottom"/>
          </w:tcPr>
          <w:p w:rsidR="00243000" w:rsidRDefault="001A69EF">
            <w:pPr>
              <w:spacing w:after="0" w:line="259" w:lineRule="auto"/>
              <w:ind w:left="0" w:firstLine="0"/>
            </w:pPr>
            <w:r>
              <w:t xml:space="preserve">The home institution must have the capacity to administer a grant and satisfy </w:t>
            </w:r>
          </w:p>
          <w:p w:rsidR="00243000" w:rsidRDefault="001A69EF">
            <w:pPr>
              <w:spacing w:after="0" w:line="259" w:lineRule="auto"/>
              <w:ind w:left="0" w:firstLine="0"/>
            </w:pPr>
            <w:r>
              <w:t xml:space="preserve">British Council requirements to prevent bribery, fraud and professional misconduct. Applicants will confirm that they comply to British Council requirements by responding to pre-submission questions in the online application form   </w:t>
            </w:r>
          </w:p>
        </w:tc>
        <w:tc>
          <w:tcPr>
            <w:tcW w:w="986" w:type="dxa"/>
            <w:tcBorders>
              <w:top w:val="single" w:sz="4" w:space="0" w:color="000000"/>
              <w:left w:val="single" w:sz="4" w:space="0" w:color="000000"/>
              <w:bottom w:val="single" w:sz="4" w:space="0" w:color="000000"/>
              <w:right w:val="single" w:sz="4" w:space="0" w:color="000000"/>
            </w:tcBorders>
          </w:tcPr>
          <w:p w:rsidR="00243000" w:rsidRDefault="001A69EF">
            <w:pPr>
              <w:spacing w:after="0" w:line="259" w:lineRule="auto"/>
              <w:ind w:left="36" w:firstLine="0"/>
              <w:jc w:val="center"/>
            </w:pPr>
            <w:r>
              <w:rPr>
                <w:b/>
                <w:sz w:val="24"/>
              </w:rPr>
              <w:t xml:space="preserve"> </w:t>
            </w:r>
          </w:p>
        </w:tc>
      </w:tr>
    </w:tbl>
    <w:p w:rsidR="00243000" w:rsidRDefault="001A69EF" w:rsidP="00DB5A95">
      <w:pPr>
        <w:spacing w:after="115" w:line="259" w:lineRule="auto"/>
        <w:ind w:left="540" w:firstLine="0"/>
      </w:pPr>
      <w:r>
        <w:t xml:space="preserve"> </w:t>
      </w:r>
      <w:r>
        <w:rPr>
          <w:b/>
          <w:sz w:val="24"/>
        </w:rPr>
        <w:t xml:space="preserve">  </w:t>
      </w:r>
      <w:r>
        <w:rPr>
          <w:b/>
          <w:sz w:val="24"/>
        </w:rPr>
        <w:tab/>
        <w:t xml:space="preserve"> </w:t>
      </w:r>
      <w:r>
        <w:br w:type="page"/>
      </w:r>
    </w:p>
    <w:p w:rsidR="00243000" w:rsidRDefault="001A69EF">
      <w:pPr>
        <w:spacing w:after="0" w:line="259" w:lineRule="auto"/>
        <w:ind w:left="0" w:firstLine="0"/>
      </w:pPr>
      <w:r>
        <w:rPr>
          <w:b/>
          <w:sz w:val="24"/>
        </w:rPr>
        <w:t xml:space="preserve">Annex 3 - Scoring system </w:t>
      </w:r>
      <w:r>
        <w:t xml:space="preserve"> </w:t>
      </w:r>
    </w:p>
    <w:p w:rsidR="00243000" w:rsidRDefault="001A69EF">
      <w:pPr>
        <w:spacing w:after="10" w:line="241" w:lineRule="auto"/>
        <w:ind w:left="0" w:firstLine="0"/>
      </w:pPr>
      <w:r>
        <w:rPr>
          <w:sz w:val="20"/>
        </w:rPr>
        <w:t xml:space="preserve">Assessment of the quality and development relevance of the proposals will be performed by panel members in the UK, and the final funding decisions will be made in discussion with British Council country office and in-country partners, if applicable. Proposals with an average score of less than 30 points are considered not fundable. Equally, only proposals that have clearly articulated relevance to economic development and social welfare of the partner country will be considered for funding  </w:t>
      </w:r>
    </w:p>
    <w:p w:rsidR="00243000" w:rsidRDefault="001A69EF">
      <w:pPr>
        <w:spacing w:after="0" w:line="259" w:lineRule="auto"/>
        <w:ind w:left="0" w:firstLine="0"/>
        <w:rPr>
          <w:sz w:val="20"/>
        </w:rPr>
      </w:pPr>
      <w:r>
        <w:rPr>
          <w:sz w:val="20"/>
        </w:rPr>
        <w:t xml:space="preserve"> </w:t>
      </w:r>
    </w:p>
    <w:tbl>
      <w:tblPr>
        <w:tblStyle w:val="TableGrid"/>
        <w:tblW w:w="9420" w:type="dxa"/>
        <w:tblInd w:w="-5" w:type="dxa"/>
        <w:tblLook w:val="04A0" w:firstRow="1" w:lastRow="0" w:firstColumn="1" w:lastColumn="0" w:noHBand="0" w:noVBand="1"/>
      </w:tblPr>
      <w:tblGrid>
        <w:gridCol w:w="6384"/>
        <w:gridCol w:w="2046"/>
        <w:gridCol w:w="990"/>
      </w:tblGrid>
      <w:tr w:rsidR="00DB588E" w:rsidTr="004E3582">
        <w:trPr>
          <w:trHeight w:val="680"/>
        </w:trPr>
        <w:tc>
          <w:tcPr>
            <w:tcW w:w="6384" w:type="dxa"/>
            <w:tcBorders>
              <w:top w:val="single" w:sz="4" w:space="0" w:color="auto"/>
              <w:left w:val="single" w:sz="4" w:space="0" w:color="auto"/>
              <w:bottom w:val="single" w:sz="4" w:space="0" w:color="auto"/>
              <w:right w:val="single" w:sz="4" w:space="0" w:color="auto"/>
            </w:tcBorders>
          </w:tcPr>
          <w:p w:rsidR="00DB588E" w:rsidRDefault="00DB588E" w:rsidP="00DB588E">
            <w:pPr>
              <w:spacing w:after="0" w:line="259" w:lineRule="auto"/>
              <w:ind w:left="106" w:firstLine="0"/>
            </w:pPr>
            <w:r>
              <w:rPr>
                <w:b/>
                <w:sz w:val="20"/>
              </w:rPr>
              <w:t>Section 4 – Relevance to economic development and social welfare</w:t>
            </w:r>
            <w:r>
              <w:rPr>
                <w:sz w:val="20"/>
              </w:rPr>
              <w:t xml:space="preserve"> </w:t>
            </w:r>
          </w:p>
        </w:tc>
        <w:tc>
          <w:tcPr>
            <w:tcW w:w="2046" w:type="dxa"/>
            <w:tcBorders>
              <w:top w:val="single" w:sz="4" w:space="0" w:color="auto"/>
              <w:left w:val="single" w:sz="4" w:space="0" w:color="auto"/>
              <w:bottom w:val="single" w:sz="4" w:space="0" w:color="auto"/>
              <w:right w:val="single" w:sz="4" w:space="0" w:color="auto"/>
            </w:tcBorders>
          </w:tcPr>
          <w:p w:rsidR="00DB588E" w:rsidRDefault="00DB588E" w:rsidP="00DB588E">
            <w:pPr>
              <w:spacing w:after="0" w:line="259" w:lineRule="auto"/>
              <w:ind w:left="0" w:firstLine="0"/>
            </w:pPr>
            <w:r>
              <w:rPr>
                <w:sz w:val="20"/>
              </w:rPr>
              <w:t xml:space="preserve"> </w:t>
            </w:r>
          </w:p>
        </w:tc>
        <w:tc>
          <w:tcPr>
            <w:tcW w:w="990" w:type="dxa"/>
            <w:tcBorders>
              <w:top w:val="single" w:sz="4" w:space="0" w:color="auto"/>
              <w:left w:val="single" w:sz="4" w:space="0" w:color="auto"/>
              <w:bottom w:val="single" w:sz="4" w:space="0" w:color="auto"/>
              <w:right w:val="single" w:sz="4" w:space="0" w:color="auto"/>
            </w:tcBorders>
          </w:tcPr>
          <w:p w:rsidR="00DB588E" w:rsidRDefault="00DB588E" w:rsidP="00DB588E">
            <w:pPr>
              <w:spacing w:after="110" w:line="259" w:lineRule="auto"/>
              <w:ind w:left="0" w:firstLine="0"/>
            </w:pPr>
            <w:r>
              <w:rPr>
                <w:sz w:val="11"/>
              </w:rPr>
              <w:t xml:space="preserve"> </w:t>
            </w:r>
          </w:p>
          <w:p w:rsidR="00DB588E" w:rsidRDefault="00DB588E" w:rsidP="00DB588E">
            <w:pPr>
              <w:spacing w:after="0" w:line="259" w:lineRule="auto"/>
              <w:ind w:left="34" w:firstLine="0"/>
              <w:jc w:val="both"/>
            </w:pPr>
            <w:r>
              <w:rPr>
                <w:b/>
                <w:sz w:val="24"/>
              </w:rPr>
              <w:t>YES/NO</w:t>
            </w:r>
          </w:p>
        </w:tc>
      </w:tr>
      <w:tr w:rsidR="00DB588E" w:rsidTr="004E3582">
        <w:trPr>
          <w:trHeight w:val="1555"/>
        </w:trPr>
        <w:tc>
          <w:tcPr>
            <w:tcW w:w="6384" w:type="dxa"/>
            <w:tcBorders>
              <w:top w:val="single" w:sz="4" w:space="0" w:color="auto"/>
              <w:left w:val="single" w:sz="4" w:space="0" w:color="auto"/>
              <w:bottom w:val="single" w:sz="4" w:space="0" w:color="auto"/>
              <w:right w:val="single" w:sz="4" w:space="0" w:color="auto"/>
            </w:tcBorders>
          </w:tcPr>
          <w:p w:rsidR="00DB588E" w:rsidRPr="00DB588E" w:rsidRDefault="00DB588E" w:rsidP="00DB588E">
            <w:pPr>
              <w:spacing w:after="101" w:line="259" w:lineRule="auto"/>
              <w:ind w:left="115" w:firstLine="0"/>
              <w:rPr>
                <w:sz w:val="20"/>
              </w:rPr>
            </w:pPr>
            <w:r>
              <w:rPr>
                <w:sz w:val="20"/>
              </w:rPr>
              <w:t xml:space="preserve"> </w:t>
            </w:r>
            <w:r w:rsidRPr="00DB588E">
              <w:rPr>
                <w:sz w:val="20"/>
              </w:rPr>
              <w:t xml:space="preserve">The proposal clearly articulates a plausible pathway for the research to lead to positive impact on the lives of people on low income and contribute to the economic development and social welfare of the partner country and within a reasonable timeframe (3-15 years). </w:t>
            </w:r>
          </w:p>
          <w:p w:rsidR="00DB588E" w:rsidRDefault="00DB588E" w:rsidP="000B40EF">
            <w:pPr>
              <w:spacing w:after="101" w:line="259" w:lineRule="auto"/>
              <w:ind w:left="115" w:firstLine="0"/>
            </w:pPr>
            <w:r w:rsidRPr="00DB588E">
              <w:rPr>
                <w:sz w:val="20"/>
              </w:rPr>
              <w:t>Please see section 4 of the guidelines for further details.</w:t>
            </w:r>
            <w:r>
              <w:rPr>
                <w:b/>
                <w:sz w:val="20"/>
              </w:rPr>
              <w:t xml:space="preserve"> </w:t>
            </w:r>
          </w:p>
        </w:tc>
        <w:tc>
          <w:tcPr>
            <w:tcW w:w="2046" w:type="dxa"/>
            <w:tcBorders>
              <w:top w:val="single" w:sz="4" w:space="0" w:color="auto"/>
              <w:left w:val="single" w:sz="4" w:space="0" w:color="auto"/>
              <w:bottom w:val="single" w:sz="4" w:space="0" w:color="auto"/>
              <w:right w:val="single" w:sz="4" w:space="0" w:color="auto"/>
            </w:tcBorders>
          </w:tcPr>
          <w:p w:rsidR="00DB588E" w:rsidRDefault="00DB588E" w:rsidP="00DB588E">
            <w:pPr>
              <w:spacing w:after="0" w:line="259" w:lineRule="auto"/>
              <w:ind w:left="113" w:firstLine="0"/>
            </w:pPr>
            <w:r>
              <w:rPr>
                <w:sz w:val="11"/>
              </w:rPr>
              <w:t xml:space="preserve"> </w:t>
            </w:r>
          </w:p>
        </w:tc>
        <w:tc>
          <w:tcPr>
            <w:tcW w:w="990" w:type="dxa"/>
            <w:tcBorders>
              <w:right w:val="single" w:sz="4" w:space="0" w:color="auto"/>
            </w:tcBorders>
            <w:shd w:val="clear" w:color="auto" w:fill="auto"/>
          </w:tcPr>
          <w:p w:rsidR="00DB588E" w:rsidRDefault="00DB588E">
            <w:pPr>
              <w:spacing w:after="160" w:line="259" w:lineRule="auto"/>
              <w:ind w:left="0" w:firstLine="0"/>
            </w:pPr>
          </w:p>
        </w:tc>
      </w:tr>
      <w:tr w:rsidR="00243000" w:rsidTr="000B40EF">
        <w:tblPrEx>
          <w:tblCellMar>
            <w:top w:w="13" w:type="dxa"/>
            <w:left w:w="5" w:type="dxa"/>
            <w:right w:w="53" w:type="dxa"/>
          </w:tblCellMar>
        </w:tblPrEx>
        <w:trPr>
          <w:trHeight w:val="397"/>
        </w:trPr>
        <w:tc>
          <w:tcPr>
            <w:tcW w:w="6384" w:type="dxa"/>
            <w:tcBorders>
              <w:top w:val="single" w:sz="4" w:space="0" w:color="auto"/>
              <w:left w:val="single" w:sz="4" w:space="0" w:color="000000"/>
              <w:bottom w:val="single" w:sz="4" w:space="0" w:color="000000"/>
              <w:right w:val="single" w:sz="4" w:space="0" w:color="000000"/>
            </w:tcBorders>
          </w:tcPr>
          <w:p w:rsidR="00243000" w:rsidRDefault="001A69EF">
            <w:pPr>
              <w:spacing w:after="0" w:line="259" w:lineRule="auto"/>
              <w:ind w:left="106" w:firstLine="0"/>
            </w:pPr>
            <w:r>
              <w:rPr>
                <w:sz w:val="20"/>
              </w:rPr>
              <w:t xml:space="preserve"> </w:t>
            </w:r>
          </w:p>
        </w:tc>
        <w:tc>
          <w:tcPr>
            <w:tcW w:w="2046" w:type="dxa"/>
            <w:tcBorders>
              <w:top w:val="single" w:sz="4" w:space="0" w:color="auto"/>
              <w:left w:val="single" w:sz="4" w:space="0" w:color="000000"/>
              <w:bottom w:val="single" w:sz="4" w:space="0" w:color="000000"/>
              <w:right w:val="single" w:sz="4" w:space="0" w:color="000000"/>
            </w:tcBorders>
          </w:tcPr>
          <w:p w:rsidR="00243000" w:rsidRDefault="001A69EF" w:rsidP="000B40EF">
            <w:pPr>
              <w:spacing w:after="110" w:line="259" w:lineRule="auto"/>
              <w:ind w:left="0" w:firstLine="0"/>
            </w:pPr>
            <w:r>
              <w:rPr>
                <w:sz w:val="11"/>
              </w:rPr>
              <w:t xml:space="preserve"> </w:t>
            </w:r>
            <w:r>
              <w:rPr>
                <w:b/>
                <w:sz w:val="24"/>
              </w:rPr>
              <w:t>Score</w:t>
            </w:r>
            <w:r>
              <w:rPr>
                <w:sz w:val="24"/>
              </w:rPr>
              <w:t xml:space="preserve"> </w:t>
            </w:r>
          </w:p>
        </w:tc>
        <w:tc>
          <w:tcPr>
            <w:tcW w:w="990" w:type="dxa"/>
            <w:tcBorders>
              <w:top w:val="single" w:sz="6" w:space="0" w:color="000000"/>
              <w:left w:val="single" w:sz="4" w:space="0" w:color="000000"/>
              <w:bottom w:val="single" w:sz="4" w:space="0" w:color="000000"/>
              <w:right w:val="single" w:sz="4" w:space="0" w:color="000000"/>
            </w:tcBorders>
          </w:tcPr>
          <w:p w:rsidR="00243000" w:rsidRDefault="001A69EF" w:rsidP="000B40EF">
            <w:pPr>
              <w:spacing w:after="110" w:line="259" w:lineRule="auto"/>
              <w:ind w:left="79" w:firstLine="0"/>
              <w:jc w:val="center"/>
            </w:pPr>
            <w:r>
              <w:rPr>
                <w:sz w:val="11"/>
              </w:rPr>
              <w:t xml:space="preserve"> </w:t>
            </w:r>
            <w:r>
              <w:rPr>
                <w:b/>
                <w:sz w:val="24"/>
              </w:rPr>
              <w:t>Range</w:t>
            </w:r>
            <w:r>
              <w:rPr>
                <w:sz w:val="24"/>
              </w:rPr>
              <w:t xml:space="preserve"> </w:t>
            </w:r>
          </w:p>
        </w:tc>
      </w:tr>
      <w:tr w:rsidR="00243000" w:rsidTr="000B40EF">
        <w:tblPrEx>
          <w:tblCellMar>
            <w:top w:w="13" w:type="dxa"/>
            <w:left w:w="5" w:type="dxa"/>
            <w:right w:w="53" w:type="dxa"/>
          </w:tblCellMar>
        </w:tblPrEx>
        <w:trPr>
          <w:trHeight w:val="528"/>
        </w:trPr>
        <w:tc>
          <w:tcPr>
            <w:tcW w:w="6384" w:type="dxa"/>
            <w:tcBorders>
              <w:top w:val="single" w:sz="4" w:space="0" w:color="000000"/>
              <w:left w:val="single" w:sz="4" w:space="0" w:color="000000"/>
              <w:bottom w:val="single" w:sz="4" w:space="0" w:color="000000"/>
              <w:right w:val="single" w:sz="4" w:space="0" w:color="000000"/>
            </w:tcBorders>
            <w:vAlign w:val="center"/>
          </w:tcPr>
          <w:p w:rsidR="00243000" w:rsidRDefault="001A69EF" w:rsidP="000B40EF">
            <w:pPr>
              <w:spacing w:after="0" w:line="259" w:lineRule="auto"/>
              <w:ind w:left="108" w:firstLine="0"/>
            </w:pPr>
            <w:r>
              <w:rPr>
                <w:b/>
                <w:sz w:val="20"/>
              </w:rPr>
              <w:t>Section 1 – Research quality and background</w:t>
            </w:r>
          </w:p>
        </w:tc>
        <w:tc>
          <w:tcPr>
            <w:tcW w:w="2046" w:type="dxa"/>
            <w:tcBorders>
              <w:top w:val="single" w:sz="4" w:space="0" w:color="000000"/>
              <w:left w:val="single" w:sz="4" w:space="0" w:color="000000"/>
              <w:bottom w:val="single" w:sz="4" w:space="0" w:color="000000"/>
              <w:right w:val="single" w:sz="4" w:space="0" w:color="000000"/>
            </w:tcBorders>
            <w:vAlign w:val="center"/>
          </w:tcPr>
          <w:p w:rsidR="00243000" w:rsidRDefault="00243000" w:rsidP="000B40EF">
            <w:pPr>
              <w:spacing w:after="0" w:line="259" w:lineRule="auto"/>
              <w:ind w:left="0" w:firstLine="0"/>
            </w:pPr>
          </w:p>
        </w:tc>
        <w:tc>
          <w:tcPr>
            <w:tcW w:w="99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43000" w:rsidRDefault="001A69EF" w:rsidP="000B40EF">
            <w:pPr>
              <w:spacing w:after="0" w:line="259" w:lineRule="auto"/>
              <w:ind w:left="0" w:firstLine="0"/>
            </w:pPr>
            <w:r>
              <w:rPr>
                <w:b/>
                <w:sz w:val="24"/>
              </w:rPr>
              <w:t>0-20</w:t>
            </w:r>
          </w:p>
        </w:tc>
      </w:tr>
      <w:tr w:rsidR="00243000" w:rsidTr="004E3582">
        <w:tblPrEx>
          <w:tblCellMar>
            <w:top w:w="13" w:type="dxa"/>
            <w:left w:w="5" w:type="dxa"/>
            <w:right w:w="53" w:type="dxa"/>
          </w:tblCellMar>
        </w:tblPrEx>
        <w:trPr>
          <w:trHeight w:val="4466"/>
        </w:trPr>
        <w:tc>
          <w:tcPr>
            <w:tcW w:w="6384" w:type="dxa"/>
            <w:tcBorders>
              <w:top w:val="single" w:sz="4" w:space="0" w:color="000000"/>
              <w:left w:val="single" w:sz="4" w:space="0" w:color="000000"/>
              <w:bottom w:val="single" w:sz="4" w:space="0" w:color="000000"/>
              <w:right w:val="single" w:sz="4" w:space="0" w:color="000000"/>
            </w:tcBorders>
          </w:tcPr>
          <w:p w:rsidR="00243000" w:rsidRDefault="001A69EF">
            <w:pPr>
              <w:spacing w:after="122" w:line="239" w:lineRule="auto"/>
              <w:ind w:left="115" w:firstLine="0"/>
              <w:jc w:val="both"/>
            </w:pPr>
            <w:r>
              <w:rPr>
                <w:sz w:val="20"/>
              </w:rPr>
              <w:t xml:space="preserve">The academic importance and timeliness of the research topic is clearly demonstrated. </w:t>
            </w:r>
          </w:p>
          <w:p w:rsidR="00243000" w:rsidRDefault="001A69EF">
            <w:pPr>
              <w:spacing w:after="120" w:line="241" w:lineRule="auto"/>
              <w:ind w:left="115" w:firstLine="0"/>
            </w:pPr>
            <w:r>
              <w:rPr>
                <w:sz w:val="20"/>
              </w:rPr>
              <w:t xml:space="preserve">The applicant has sufficient relevant experience to undertake the proposed research visit and achieve the stated objectives. </w:t>
            </w:r>
          </w:p>
          <w:p w:rsidR="00243000" w:rsidRDefault="001A69EF">
            <w:pPr>
              <w:spacing w:after="104" w:line="259" w:lineRule="auto"/>
              <w:ind w:left="115" w:firstLine="0"/>
            </w:pPr>
            <w:r>
              <w:rPr>
                <w:sz w:val="20"/>
              </w:rPr>
              <w:t xml:space="preserve">The collaborating institutions are of appropriate academic standing. </w:t>
            </w:r>
          </w:p>
          <w:p w:rsidR="00243000" w:rsidRDefault="001A69EF">
            <w:pPr>
              <w:spacing w:after="0" w:line="259" w:lineRule="auto"/>
              <w:ind w:left="115" w:firstLine="0"/>
            </w:pPr>
            <w:r>
              <w:rPr>
                <w:sz w:val="20"/>
              </w:rPr>
              <w:t xml:space="preserve"> </w:t>
            </w:r>
          </w:p>
        </w:tc>
        <w:tc>
          <w:tcPr>
            <w:tcW w:w="3036" w:type="dxa"/>
            <w:gridSpan w:val="2"/>
            <w:tcBorders>
              <w:top w:val="single" w:sz="4" w:space="0" w:color="000000"/>
              <w:left w:val="single" w:sz="4" w:space="0" w:color="000000"/>
              <w:bottom w:val="single" w:sz="4" w:space="0" w:color="000000"/>
              <w:right w:val="single" w:sz="4" w:space="0" w:color="000000"/>
            </w:tcBorders>
          </w:tcPr>
          <w:p w:rsidR="00243000" w:rsidRDefault="001A69EF">
            <w:pPr>
              <w:spacing w:after="118" w:line="241" w:lineRule="auto"/>
              <w:ind w:left="113" w:firstLine="0"/>
            </w:pPr>
            <w:r>
              <w:rPr>
                <w:b/>
                <w:sz w:val="20"/>
              </w:rPr>
              <w:t>20 points:</w:t>
            </w:r>
            <w:r>
              <w:rPr>
                <w:sz w:val="20"/>
              </w:rPr>
              <w:t xml:space="preserve"> Meets all criteria to an exceptional level </w:t>
            </w:r>
          </w:p>
          <w:p w:rsidR="00243000" w:rsidRDefault="001A69EF">
            <w:pPr>
              <w:spacing w:after="117" w:line="243" w:lineRule="auto"/>
              <w:ind w:left="113" w:firstLine="0"/>
            </w:pPr>
            <w:r>
              <w:rPr>
                <w:b/>
                <w:sz w:val="20"/>
              </w:rPr>
              <w:t xml:space="preserve">16 to 19 points: </w:t>
            </w:r>
            <w:r>
              <w:rPr>
                <w:sz w:val="20"/>
              </w:rPr>
              <w:t xml:space="preserve">Meets the majority of the criteria to a very high level </w:t>
            </w:r>
          </w:p>
          <w:p w:rsidR="00243000" w:rsidRDefault="001A69EF">
            <w:pPr>
              <w:spacing w:after="118" w:line="241" w:lineRule="auto"/>
              <w:ind w:left="113" w:firstLine="0"/>
            </w:pPr>
            <w:r>
              <w:rPr>
                <w:b/>
                <w:sz w:val="20"/>
              </w:rPr>
              <w:t xml:space="preserve">11 to 15 points: </w:t>
            </w:r>
            <w:r>
              <w:rPr>
                <w:sz w:val="20"/>
              </w:rPr>
              <w:t xml:space="preserve">Meets the majority of the criteria to a high level </w:t>
            </w:r>
          </w:p>
          <w:p w:rsidR="00243000" w:rsidRDefault="001A69EF">
            <w:pPr>
              <w:spacing w:after="116" w:line="243" w:lineRule="auto"/>
              <w:ind w:left="113" w:firstLine="0"/>
            </w:pPr>
            <w:r>
              <w:rPr>
                <w:b/>
                <w:sz w:val="20"/>
              </w:rPr>
              <w:t xml:space="preserve">6 to 10 points: </w:t>
            </w:r>
            <w:r>
              <w:rPr>
                <w:sz w:val="20"/>
              </w:rPr>
              <w:t xml:space="preserve">Meets the majority of the criteria to an adequate level </w:t>
            </w:r>
          </w:p>
          <w:p w:rsidR="00243000" w:rsidRDefault="001A69EF">
            <w:pPr>
              <w:spacing w:after="118" w:line="241" w:lineRule="auto"/>
              <w:ind w:left="113" w:firstLine="0"/>
            </w:pPr>
            <w:r>
              <w:rPr>
                <w:b/>
                <w:sz w:val="20"/>
              </w:rPr>
              <w:t>1 to 5 points:</w:t>
            </w:r>
            <w:r>
              <w:rPr>
                <w:sz w:val="20"/>
              </w:rPr>
              <w:t xml:space="preserve"> Meets some of the criteria to an adequate level </w:t>
            </w:r>
          </w:p>
          <w:p w:rsidR="00243000" w:rsidRDefault="001A69EF">
            <w:pPr>
              <w:spacing w:after="0" w:line="259" w:lineRule="auto"/>
              <w:ind w:left="113" w:right="23" w:firstLine="0"/>
            </w:pPr>
            <w:r>
              <w:rPr>
                <w:b/>
                <w:sz w:val="20"/>
              </w:rPr>
              <w:t>0 points:</w:t>
            </w:r>
            <w:r>
              <w:rPr>
                <w:sz w:val="20"/>
              </w:rPr>
              <w:t xml:space="preserve"> Fails to meet any of the criteria to an adequate level. </w:t>
            </w:r>
          </w:p>
        </w:tc>
      </w:tr>
      <w:tr w:rsidR="00243000" w:rsidTr="000B40EF">
        <w:tblPrEx>
          <w:tblCellMar>
            <w:top w:w="100" w:type="dxa"/>
            <w:left w:w="5" w:type="dxa"/>
            <w:right w:w="69" w:type="dxa"/>
          </w:tblCellMar>
        </w:tblPrEx>
        <w:trPr>
          <w:trHeight w:val="499"/>
        </w:trPr>
        <w:tc>
          <w:tcPr>
            <w:tcW w:w="6384" w:type="dxa"/>
            <w:tcBorders>
              <w:top w:val="single" w:sz="4" w:space="0" w:color="000000"/>
              <w:left w:val="single" w:sz="4" w:space="0" w:color="000000"/>
              <w:bottom w:val="single" w:sz="4" w:space="0" w:color="000000"/>
              <w:right w:val="single" w:sz="4" w:space="0" w:color="000000"/>
            </w:tcBorders>
            <w:vAlign w:val="center"/>
          </w:tcPr>
          <w:p w:rsidR="00243000" w:rsidRDefault="001A69EF" w:rsidP="000B40EF">
            <w:pPr>
              <w:spacing w:after="73" w:line="259" w:lineRule="auto"/>
              <w:ind w:left="2" w:firstLine="0"/>
            </w:pPr>
            <w:r>
              <w:rPr>
                <w:sz w:val="11"/>
              </w:rPr>
              <w:t xml:space="preserve"> </w:t>
            </w:r>
            <w:r>
              <w:rPr>
                <w:sz w:val="20"/>
              </w:rPr>
              <w:t xml:space="preserve"> </w:t>
            </w:r>
            <w:r>
              <w:rPr>
                <w:b/>
                <w:sz w:val="20"/>
              </w:rPr>
              <w:t>Section 2 – Research visit and proposal</w:t>
            </w:r>
            <w:r>
              <w:rPr>
                <w:sz w:val="20"/>
              </w:rPr>
              <w:t xml:space="preserve"> </w:t>
            </w:r>
          </w:p>
        </w:tc>
        <w:tc>
          <w:tcPr>
            <w:tcW w:w="2046"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0" w:firstLine="0"/>
            </w:pPr>
            <w:r>
              <w:rPr>
                <w:sz w:val="2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43000" w:rsidRDefault="001A69EF" w:rsidP="000B40EF">
            <w:pPr>
              <w:spacing w:after="108" w:line="259" w:lineRule="auto"/>
              <w:ind w:left="0" w:firstLine="0"/>
            </w:pPr>
            <w:r>
              <w:rPr>
                <w:sz w:val="11"/>
              </w:rPr>
              <w:t xml:space="preserve"> </w:t>
            </w:r>
            <w:r>
              <w:rPr>
                <w:b/>
                <w:sz w:val="24"/>
              </w:rPr>
              <w:t xml:space="preserve">  0-20</w:t>
            </w:r>
            <w:r>
              <w:rPr>
                <w:sz w:val="24"/>
              </w:rPr>
              <w:t xml:space="preserve"> </w:t>
            </w:r>
          </w:p>
        </w:tc>
      </w:tr>
      <w:tr w:rsidR="00243000" w:rsidTr="004E3582">
        <w:tblPrEx>
          <w:tblCellMar>
            <w:top w:w="100" w:type="dxa"/>
            <w:left w:w="5" w:type="dxa"/>
            <w:right w:w="69" w:type="dxa"/>
          </w:tblCellMar>
        </w:tblPrEx>
        <w:trPr>
          <w:trHeight w:val="4488"/>
        </w:trPr>
        <w:tc>
          <w:tcPr>
            <w:tcW w:w="6384" w:type="dxa"/>
            <w:tcBorders>
              <w:top w:val="single" w:sz="4" w:space="0" w:color="000000"/>
              <w:left w:val="single" w:sz="4" w:space="0" w:color="000000"/>
              <w:bottom w:val="single" w:sz="4" w:space="0" w:color="000000"/>
              <w:right w:val="single" w:sz="4" w:space="0" w:color="000000"/>
            </w:tcBorders>
          </w:tcPr>
          <w:p w:rsidR="00243000" w:rsidRDefault="001A69EF">
            <w:pPr>
              <w:spacing w:after="127" w:line="236" w:lineRule="auto"/>
              <w:ind w:left="115" w:firstLine="0"/>
            </w:pPr>
            <w:r>
              <w:rPr>
                <w:sz w:val="20"/>
              </w:rPr>
              <w:t>The description of the proposed research visit includes clear, feasible and realistic objectives and outputs</w:t>
            </w:r>
            <w:r>
              <w:rPr>
                <w:b/>
                <w:sz w:val="20"/>
              </w:rPr>
              <w:t xml:space="preserve">. </w:t>
            </w:r>
          </w:p>
          <w:p w:rsidR="00243000" w:rsidRDefault="001A69EF">
            <w:pPr>
              <w:spacing w:after="120" w:line="241" w:lineRule="auto"/>
              <w:ind w:left="115" w:right="33" w:firstLine="0"/>
            </w:pPr>
            <w:r>
              <w:rPr>
                <w:sz w:val="20"/>
              </w:rPr>
              <w:t xml:space="preserve">There is clear evidence that the proposed research visit supports new links or significantly extends and develops existing links. </w:t>
            </w:r>
          </w:p>
          <w:p w:rsidR="00243000" w:rsidRDefault="001A69EF">
            <w:pPr>
              <w:spacing w:after="105" w:line="236" w:lineRule="auto"/>
              <w:ind w:left="115" w:firstLine="0"/>
            </w:pPr>
            <w:r>
              <w:rPr>
                <w:sz w:val="20"/>
              </w:rPr>
              <w:t>The benefits and relevance of the collaboration to the UK and partner country institution, and to the research itself, are clearly described.</w:t>
            </w:r>
            <w:r>
              <w:t xml:space="preserve"> </w:t>
            </w:r>
          </w:p>
          <w:p w:rsidR="00243000" w:rsidRDefault="001A69EF">
            <w:pPr>
              <w:spacing w:after="121" w:line="241" w:lineRule="auto"/>
              <w:ind w:left="115" w:firstLine="0"/>
            </w:pPr>
            <w:r>
              <w:rPr>
                <w:sz w:val="20"/>
              </w:rPr>
              <w:t>If the applicant is returning to visit the research group where she/he carried out their PhD research or previously taught</w:t>
            </w:r>
            <w:proofErr w:type="gramStart"/>
            <w:r>
              <w:rPr>
                <w:sz w:val="20"/>
              </w:rPr>
              <w:t>,</w:t>
            </w:r>
            <w:proofErr w:type="gramEnd"/>
            <w:r>
              <w:rPr>
                <w:sz w:val="20"/>
              </w:rPr>
              <w:t xml:space="preserve"> there is clear evidence that the proposed research visit will expand added value to the collaboration. </w:t>
            </w:r>
          </w:p>
          <w:p w:rsidR="00243000" w:rsidRDefault="001A69EF">
            <w:pPr>
              <w:spacing w:after="139" w:line="241" w:lineRule="auto"/>
              <w:ind w:left="115" w:firstLine="0"/>
            </w:pPr>
            <w:r>
              <w:rPr>
                <w:sz w:val="20"/>
              </w:rPr>
              <w:t xml:space="preserve">There is strong evidence of support from both the home and host institutions. </w:t>
            </w:r>
          </w:p>
          <w:p w:rsidR="00243000" w:rsidRDefault="001A69EF">
            <w:pPr>
              <w:spacing w:after="0" w:line="259" w:lineRule="auto"/>
              <w:ind w:left="115" w:firstLine="0"/>
            </w:pPr>
            <w:r>
              <w:t xml:space="preserve"> </w:t>
            </w:r>
          </w:p>
        </w:tc>
        <w:tc>
          <w:tcPr>
            <w:tcW w:w="3036" w:type="dxa"/>
            <w:gridSpan w:val="2"/>
            <w:tcBorders>
              <w:top w:val="single" w:sz="4" w:space="0" w:color="000000"/>
              <w:left w:val="single" w:sz="4" w:space="0" w:color="000000"/>
              <w:bottom w:val="single" w:sz="4" w:space="0" w:color="000000"/>
              <w:right w:val="single" w:sz="4" w:space="0" w:color="000000"/>
            </w:tcBorders>
          </w:tcPr>
          <w:p w:rsidR="00243000" w:rsidRDefault="001A69EF">
            <w:pPr>
              <w:spacing w:after="118" w:line="241" w:lineRule="auto"/>
              <w:ind w:left="113" w:firstLine="0"/>
            </w:pPr>
            <w:r>
              <w:rPr>
                <w:b/>
                <w:sz w:val="20"/>
              </w:rPr>
              <w:t>20 points:</w:t>
            </w:r>
            <w:r>
              <w:rPr>
                <w:sz w:val="20"/>
              </w:rPr>
              <w:t xml:space="preserve"> Meets all criteria to an exceptional level </w:t>
            </w:r>
          </w:p>
          <w:p w:rsidR="00243000" w:rsidRDefault="001A69EF">
            <w:pPr>
              <w:spacing w:after="116" w:line="243" w:lineRule="auto"/>
              <w:ind w:left="113" w:firstLine="0"/>
            </w:pPr>
            <w:r>
              <w:rPr>
                <w:b/>
                <w:sz w:val="20"/>
              </w:rPr>
              <w:t xml:space="preserve">16 to 19 points: </w:t>
            </w:r>
            <w:r>
              <w:rPr>
                <w:sz w:val="20"/>
              </w:rPr>
              <w:t xml:space="preserve">Meets the majority of the criteria to a very high level </w:t>
            </w:r>
          </w:p>
          <w:p w:rsidR="00243000" w:rsidRDefault="001A69EF">
            <w:pPr>
              <w:spacing w:after="118" w:line="241" w:lineRule="auto"/>
              <w:ind w:left="113" w:firstLine="0"/>
            </w:pPr>
            <w:r>
              <w:rPr>
                <w:b/>
                <w:sz w:val="20"/>
              </w:rPr>
              <w:t xml:space="preserve">11 to 15 points: </w:t>
            </w:r>
            <w:r>
              <w:rPr>
                <w:sz w:val="20"/>
              </w:rPr>
              <w:t xml:space="preserve">Meets the majority of the criteria to a high level </w:t>
            </w:r>
          </w:p>
          <w:p w:rsidR="00243000" w:rsidRDefault="001A69EF">
            <w:pPr>
              <w:spacing w:after="116" w:line="243" w:lineRule="auto"/>
              <w:ind w:left="113" w:firstLine="0"/>
            </w:pPr>
            <w:r>
              <w:rPr>
                <w:b/>
                <w:sz w:val="20"/>
              </w:rPr>
              <w:t xml:space="preserve">6 to 10 points: </w:t>
            </w:r>
            <w:r>
              <w:rPr>
                <w:sz w:val="20"/>
              </w:rPr>
              <w:t xml:space="preserve">Meets the majority of the criteria to an adequate level </w:t>
            </w:r>
          </w:p>
          <w:p w:rsidR="00243000" w:rsidRDefault="001A69EF">
            <w:pPr>
              <w:spacing w:after="113" w:line="244" w:lineRule="auto"/>
              <w:ind w:left="113" w:firstLine="0"/>
            </w:pPr>
            <w:r>
              <w:rPr>
                <w:b/>
                <w:sz w:val="20"/>
              </w:rPr>
              <w:t>1 to 5 points:</w:t>
            </w:r>
            <w:r>
              <w:rPr>
                <w:sz w:val="20"/>
              </w:rPr>
              <w:t xml:space="preserve"> Meets some of the criteria to an adequate level </w:t>
            </w:r>
          </w:p>
          <w:p w:rsidR="00243000" w:rsidRDefault="001A69EF">
            <w:pPr>
              <w:spacing w:after="0" w:line="259" w:lineRule="auto"/>
              <w:ind w:left="113" w:right="7" w:firstLine="0"/>
            </w:pPr>
            <w:r>
              <w:rPr>
                <w:b/>
                <w:sz w:val="20"/>
              </w:rPr>
              <w:t>0 points:</w:t>
            </w:r>
            <w:r>
              <w:rPr>
                <w:sz w:val="20"/>
              </w:rPr>
              <w:t xml:space="preserve"> Fails to meet any of the criteria to an adequate level. </w:t>
            </w:r>
          </w:p>
        </w:tc>
      </w:tr>
      <w:tr w:rsidR="00243000" w:rsidTr="004E3582">
        <w:tblPrEx>
          <w:tblCellMar>
            <w:top w:w="13" w:type="dxa"/>
            <w:left w:w="5" w:type="dxa"/>
            <w:right w:w="14" w:type="dxa"/>
          </w:tblCellMar>
        </w:tblPrEx>
        <w:trPr>
          <w:trHeight w:val="645"/>
        </w:trPr>
        <w:tc>
          <w:tcPr>
            <w:tcW w:w="6381"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106" w:firstLine="0"/>
            </w:pPr>
            <w:r>
              <w:rPr>
                <w:sz w:val="20"/>
              </w:rPr>
              <w:t xml:space="preserve"> </w:t>
            </w:r>
            <w:r>
              <w:rPr>
                <w:sz w:val="20"/>
              </w:rPr>
              <w:tab/>
              <w:t xml:space="preserve"> </w:t>
            </w:r>
            <w:r>
              <w:rPr>
                <w:b/>
                <w:sz w:val="20"/>
              </w:rPr>
              <w:t>Section 3 – Sustainability and capacity building</w:t>
            </w:r>
            <w:r>
              <w:rPr>
                <w:sz w:val="20"/>
              </w:rPr>
              <w:t xml:space="preserve"> </w:t>
            </w:r>
          </w:p>
        </w:tc>
        <w:tc>
          <w:tcPr>
            <w:tcW w:w="2045" w:type="dxa"/>
            <w:tcBorders>
              <w:top w:val="single" w:sz="4" w:space="0" w:color="000000"/>
              <w:left w:val="single" w:sz="4" w:space="0" w:color="000000"/>
              <w:bottom w:val="single" w:sz="4" w:space="0" w:color="000000"/>
              <w:right w:val="single" w:sz="4" w:space="0" w:color="000000"/>
            </w:tcBorders>
            <w:vAlign w:val="center"/>
          </w:tcPr>
          <w:p w:rsidR="00243000" w:rsidRDefault="001A69EF">
            <w:pPr>
              <w:spacing w:after="0" w:line="259" w:lineRule="auto"/>
              <w:ind w:left="0" w:firstLine="0"/>
            </w:pPr>
            <w:r>
              <w:rPr>
                <w:sz w:val="20"/>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243000" w:rsidRDefault="001A69EF">
            <w:pPr>
              <w:spacing w:after="108" w:line="259" w:lineRule="auto"/>
              <w:ind w:left="0" w:firstLine="0"/>
            </w:pPr>
            <w:r>
              <w:rPr>
                <w:sz w:val="11"/>
              </w:rPr>
              <w:t xml:space="preserve"> </w:t>
            </w:r>
          </w:p>
          <w:p w:rsidR="00243000" w:rsidRDefault="001A69EF">
            <w:pPr>
              <w:spacing w:after="0" w:line="259" w:lineRule="auto"/>
              <w:ind w:left="106" w:firstLine="0"/>
            </w:pPr>
            <w:r>
              <w:rPr>
                <w:b/>
                <w:sz w:val="24"/>
              </w:rPr>
              <w:t>0-20</w:t>
            </w:r>
            <w:r>
              <w:rPr>
                <w:sz w:val="24"/>
              </w:rPr>
              <w:t xml:space="preserve"> </w:t>
            </w:r>
          </w:p>
        </w:tc>
      </w:tr>
      <w:tr w:rsidR="00243000" w:rsidTr="004E3582">
        <w:tblPrEx>
          <w:tblCellMar>
            <w:top w:w="13" w:type="dxa"/>
            <w:left w:w="5" w:type="dxa"/>
            <w:right w:w="14" w:type="dxa"/>
          </w:tblCellMar>
        </w:tblPrEx>
        <w:trPr>
          <w:trHeight w:val="4521"/>
        </w:trPr>
        <w:tc>
          <w:tcPr>
            <w:tcW w:w="6381" w:type="dxa"/>
            <w:tcBorders>
              <w:top w:val="single" w:sz="4" w:space="0" w:color="000000"/>
              <w:left w:val="single" w:sz="4" w:space="0" w:color="000000"/>
              <w:bottom w:val="single" w:sz="4" w:space="0" w:color="000000"/>
              <w:right w:val="single" w:sz="4" w:space="0" w:color="000000"/>
            </w:tcBorders>
          </w:tcPr>
          <w:p w:rsidR="00243000" w:rsidRDefault="001A69EF">
            <w:pPr>
              <w:spacing w:after="153" w:line="259" w:lineRule="auto"/>
              <w:ind w:left="2" w:firstLine="0"/>
            </w:pPr>
            <w:r>
              <w:rPr>
                <w:sz w:val="12"/>
              </w:rPr>
              <w:t xml:space="preserve"> </w:t>
            </w:r>
          </w:p>
          <w:p w:rsidR="00243000" w:rsidRDefault="001A69EF">
            <w:pPr>
              <w:spacing w:after="121" w:line="240" w:lineRule="auto"/>
              <w:ind w:left="115" w:firstLine="0"/>
            </w:pPr>
            <w:r>
              <w:rPr>
                <w:sz w:val="20"/>
              </w:rPr>
              <w:t xml:space="preserve">The proposal includes a clear and feasible description of how the individuals and research groups involved intend to sustain their collaboration over the longer term. </w:t>
            </w:r>
          </w:p>
          <w:p w:rsidR="00243000" w:rsidRDefault="001A69EF">
            <w:pPr>
              <w:spacing w:after="118" w:line="241" w:lineRule="auto"/>
              <w:ind w:left="115" w:firstLine="0"/>
            </w:pPr>
            <w:r>
              <w:rPr>
                <w:sz w:val="20"/>
              </w:rPr>
              <w:t xml:space="preserve">The potential in terms of professional development and capacity building for the applicant and other potential beneficiaries is clearly described. </w:t>
            </w:r>
          </w:p>
          <w:p w:rsidR="00243000" w:rsidRDefault="001A69EF">
            <w:pPr>
              <w:spacing w:after="0" w:line="259" w:lineRule="auto"/>
              <w:ind w:left="115" w:firstLine="0"/>
            </w:pPr>
            <w:r>
              <w:rPr>
                <w:sz w:val="20"/>
              </w:rPr>
              <w:t xml:space="preserve"> </w:t>
            </w:r>
          </w:p>
        </w:tc>
        <w:tc>
          <w:tcPr>
            <w:tcW w:w="3034" w:type="dxa"/>
            <w:gridSpan w:val="2"/>
            <w:tcBorders>
              <w:top w:val="single" w:sz="4" w:space="0" w:color="000000"/>
              <w:left w:val="single" w:sz="4" w:space="0" w:color="000000"/>
              <w:bottom w:val="single" w:sz="4" w:space="0" w:color="000000"/>
              <w:right w:val="single" w:sz="4" w:space="0" w:color="000000"/>
            </w:tcBorders>
          </w:tcPr>
          <w:p w:rsidR="00243000" w:rsidRDefault="001A69EF">
            <w:pPr>
              <w:spacing w:after="118" w:line="241" w:lineRule="auto"/>
              <w:ind w:left="113" w:firstLine="0"/>
            </w:pPr>
            <w:r>
              <w:rPr>
                <w:b/>
                <w:sz w:val="20"/>
              </w:rPr>
              <w:t>20 points:</w:t>
            </w:r>
            <w:r>
              <w:rPr>
                <w:sz w:val="20"/>
              </w:rPr>
              <w:t xml:space="preserve"> Meets all criteria to an exceptional level </w:t>
            </w:r>
          </w:p>
          <w:p w:rsidR="00243000" w:rsidRDefault="001A69EF">
            <w:pPr>
              <w:spacing w:after="118" w:line="241" w:lineRule="auto"/>
              <w:ind w:left="113" w:firstLine="0"/>
            </w:pPr>
            <w:r>
              <w:rPr>
                <w:b/>
                <w:sz w:val="20"/>
              </w:rPr>
              <w:t xml:space="preserve">16 to 19 points: </w:t>
            </w:r>
            <w:r>
              <w:rPr>
                <w:sz w:val="20"/>
              </w:rPr>
              <w:t xml:space="preserve">Meets the majority of the criteria to a very high level </w:t>
            </w:r>
          </w:p>
          <w:p w:rsidR="00243000" w:rsidRDefault="001A69EF">
            <w:pPr>
              <w:spacing w:after="116" w:line="243" w:lineRule="auto"/>
              <w:ind w:left="113" w:firstLine="0"/>
            </w:pPr>
            <w:r>
              <w:rPr>
                <w:b/>
                <w:sz w:val="20"/>
              </w:rPr>
              <w:t xml:space="preserve">11 to 15 points: </w:t>
            </w:r>
            <w:r>
              <w:rPr>
                <w:sz w:val="20"/>
              </w:rPr>
              <w:t xml:space="preserve">Meets the majority of the criteria to a high level </w:t>
            </w:r>
          </w:p>
          <w:p w:rsidR="00243000" w:rsidRDefault="001A69EF">
            <w:pPr>
              <w:spacing w:after="118" w:line="241" w:lineRule="auto"/>
              <w:ind w:left="113" w:firstLine="0"/>
            </w:pPr>
            <w:r>
              <w:rPr>
                <w:b/>
                <w:sz w:val="20"/>
              </w:rPr>
              <w:t xml:space="preserve">6 to 10 points: </w:t>
            </w:r>
            <w:r>
              <w:rPr>
                <w:sz w:val="20"/>
              </w:rPr>
              <w:t xml:space="preserve">Meets the majority of the criteria to an adequate level </w:t>
            </w:r>
          </w:p>
          <w:p w:rsidR="00243000" w:rsidRDefault="001A69EF">
            <w:pPr>
              <w:spacing w:after="116" w:line="244" w:lineRule="auto"/>
              <w:ind w:left="113" w:firstLine="0"/>
            </w:pPr>
            <w:r>
              <w:rPr>
                <w:b/>
                <w:sz w:val="20"/>
              </w:rPr>
              <w:t>1 to 5 points:</w:t>
            </w:r>
            <w:r>
              <w:rPr>
                <w:sz w:val="20"/>
              </w:rPr>
              <w:t xml:space="preserve"> Meets some of the criteria to an adequate level </w:t>
            </w:r>
          </w:p>
          <w:p w:rsidR="00243000" w:rsidRDefault="001A69EF">
            <w:pPr>
              <w:spacing w:after="0" w:line="259" w:lineRule="auto"/>
              <w:ind w:left="113" w:firstLine="0"/>
            </w:pPr>
            <w:r>
              <w:rPr>
                <w:b/>
                <w:sz w:val="20"/>
              </w:rPr>
              <w:t>0 points:</w:t>
            </w:r>
            <w:r>
              <w:rPr>
                <w:sz w:val="20"/>
              </w:rPr>
              <w:t xml:space="preserve"> Fails to meet any of the criteria to an adequate level. </w:t>
            </w:r>
          </w:p>
        </w:tc>
      </w:tr>
    </w:tbl>
    <w:p w:rsidR="00243000" w:rsidRDefault="001A69EF">
      <w:pPr>
        <w:spacing w:after="0" w:line="259" w:lineRule="auto"/>
        <w:ind w:left="0" w:right="1158" w:firstLine="0"/>
        <w:jc w:val="right"/>
      </w:pPr>
      <w:r>
        <w:rPr>
          <w:sz w:val="20"/>
        </w:rPr>
        <w:t xml:space="preserve"> </w:t>
      </w:r>
      <w:r>
        <w:rPr>
          <w:sz w:val="20"/>
        </w:rPr>
        <w:tab/>
      </w:r>
      <w:r>
        <w:rPr>
          <w:sz w:val="11"/>
        </w:rPr>
        <w:t xml:space="preserve"> </w:t>
      </w:r>
    </w:p>
    <w:tbl>
      <w:tblPr>
        <w:tblStyle w:val="TableGrid"/>
        <w:tblW w:w="9415" w:type="dxa"/>
        <w:tblInd w:w="0" w:type="dxa"/>
        <w:tblCellMar>
          <w:top w:w="6" w:type="dxa"/>
          <w:left w:w="5" w:type="dxa"/>
          <w:right w:w="115" w:type="dxa"/>
        </w:tblCellMar>
        <w:tblLook w:val="04A0" w:firstRow="1" w:lastRow="0" w:firstColumn="1" w:lastColumn="0" w:noHBand="0" w:noVBand="1"/>
      </w:tblPr>
      <w:tblGrid>
        <w:gridCol w:w="6381"/>
        <w:gridCol w:w="2045"/>
        <w:gridCol w:w="989"/>
      </w:tblGrid>
      <w:tr w:rsidR="00243000">
        <w:trPr>
          <w:trHeight w:val="844"/>
        </w:trPr>
        <w:tc>
          <w:tcPr>
            <w:tcW w:w="6381" w:type="dxa"/>
            <w:tcBorders>
              <w:top w:val="single" w:sz="6" w:space="0" w:color="000000"/>
              <w:left w:val="single" w:sz="4" w:space="0" w:color="000000"/>
              <w:bottom w:val="single" w:sz="6" w:space="0" w:color="000000"/>
              <w:right w:val="single" w:sz="4" w:space="0" w:color="000000"/>
            </w:tcBorders>
          </w:tcPr>
          <w:p w:rsidR="00243000" w:rsidRDefault="00DB588E">
            <w:pPr>
              <w:spacing w:after="74" w:line="259" w:lineRule="auto"/>
              <w:ind w:left="106" w:firstLine="0"/>
            </w:pPr>
            <w:r>
              <w:rPr>
                <w:b/>
                <w:sz w:val="20"/>
              </w:rPr>
              <w:t>TOTAL SCORE FOR QUALITY ASSESS</w:t>
            </w:r>
            <w:r w:rsidR="001A69EF">
              <w:rPr>
                <w:b/>
                <w:sz w:val="20"/>
              </w:rPr>
              <w:t xml:space="preserve">MENT </w:t>
            </w:r>
          </w:p>
          <w:p w:rsidR="00243000" w:rsidRDefault="001A69EF">
            <w:pPr>
              <w:spacing w:after="0" w:line="259" w:lineRule="auto"/>
              <w:ind w:left="106" w:firstLine="0"/>
            </w:pPr>
            <w:r>
              <w:rPr>
                <w:b/>
                <w:sz w:val="20"/>
              </w:rPr>
              <w:t xml:space="preserve">(Section 1 + Section 2 + Section 3) </w:t>
            </w:r>
          </w:p>
        </w:tc>
        <w:tc>
          <w:tcPr>
            <w:tcW w:w="2045" w:type="dxa"/>
            <w:tcBorders>
              <w:top w:val="single" w:sz="6" w:space="0" w:color="000000"/>
              <w:left w:val="single" w:sz="4" w:space="0" w:color="000000"/>
              <w:bottom w:val="single" w:sz="6" w:space="0" w:color="000000"/>
              <w:right w:val="single" w:sz="4" w:space="0" w:color="000000"/>
            </w:tcBorders>
          </w:tcPr>
          <w:p w:rsidR="00243000" w:rsidRDefault="001A69EF">
            <w:pPr>
              <w:spacing w:after="0" w:line="259" w:lineRule="auto"/>
              <w:ind w:left="0" w:firstLine="0"/>
            </w:pPr>
            <w:r>
              <w:rPr>
                <w:sz w:val="20"/>
              </w:rPr>
              <w:t xml:space="preserve"> </w:t>
            </w:r>
          </w:p>
        </w:tc>
        <w:tc>
          <w:tcPr>
            <w:tcW w:w="989" w:type="dxa"/>
            <w:tcBorders>
              <w:top w:val="single" w:sz="6" w:space="0" w:color="000000"/>
              <w:left w:val="single" w:sz="4" w:space="0" w:color="000000"/>
              <w:bottom w:val="single" w:sz="6" w:space="0" w:color="000000"/>
              <w:right w:val="single" w:sz="4" w:space="0" w:color="000000"/>
            </w:tcBorders>
            <w:shd w:val="clear" w:color="auto" w:fill="CCCCCC"/>
          </w:tcPr>
          <w:p w:rsidR="00243000" w:rsidRDefault="001A69EF">
            <w:pPr>
              <w:spacing w:after="233" w:line="259" w:lineRule="auto"/>
              <w:ind w:left="0" w:firstLine="0"/>
            </w:pPr>
            <w:r>
              <w:rPr>
                <w:sz w:val="11"/>
              </w:rPr>
              <w:t xml:space="preserve"> </w:t>
            </w:r>
          </w:p>
          <w:p w:rsidR="00243000" w:rsidRDefault="001A69EF">
            <w:pPr>
              <w:spacing w:after="0" w:line="259" w:lineRule="auto"/>
              <w:ind w:left="113" w:firstLine="0"/>
            </w:pPr>
            <w:r>
              <w:rPr>
                <w:b/>
                <w:sz w:val="24"/>
              </w:rPr>
              <w:t>0-60</w:t>
            </w:r>
            <w:r>
              <w:rPr>
                <w:sz w:val="28"/>
              </w:rPr>
              <w:t xml:space="preserve"> </w:t>
            </w:r>
          </w:p>
        </w:tc>
      </w:tr>
    </w:tbl>
    <w:p w:rsidR="00243000" w:rsidRDefault="001A69EF">
      <w:pPr>
        <w:spacing w:after="0" w:line="259" w:lineRule="auto"/>
        <w:ind w:left="103" w:firstLine="0"/>
      </w:pPr>
      <w:r>
        <w:rPr>
          <w:b/>
          <w:sz w:val="31"/>
          <w:vertAlign w:val="subscript"/>
        </w:rPr>
        <w:t xml:space="preserve"> </w:t>
      </w:r>
      <w:r>
        <w:rPr>
          <w:b/>
          <w:sz w:val="31"/>
          <w:vertAlign w:val="subscript"/>
        </w:rPr>
        <w:tab/>
      </w:r>
      <w:r>
        <w:rPr>
          <w:sz w:val="20"/>
        </w:rPr>
        <w:t xml:space="preserve"> </w:t>
      </w:r>
      <w:r>
        <w:rPr>
          <w:sz w:val="20"/>
        </w:rPr>
        <w:tab/>
      </w:r>
      <w:r>
        <w:rPr>
          <w:sz w:val="11"/>
        </w:rPr>
        <w:t xml:space="preserve"> </w:t>
      </w:r>
    </w:p>
    <w:p w:rsidR="00243000" w:rsidRDefault="00243000">
      <w:pPr>
        <w:sectPr w:rsidR="00243000">
          <w:footerReference w:type="even" r:id="rId46"/>
          <w:footerReference w:type="default" r:id="rId47"/>
          <w:footerReference w:type="first" r:id="rId48"/>
          <w:pgSz w:w="11906" w:h="16838"/>
          <w:pgMar w:top="713" w:right="1159" w:bottom="1316" w:left="1133" w:header="720" w:footer="720" w:gutter="0"/>
          <w:cols w:space="720"/>
          <w:titlePg/>
        </w:sectPr>
      </w:pPr>
    </w:p>
    <w:p w:rsidR="00243000" w:rsidRDefault="001A69EF" w:rsidP="00DB5A95">
      <w:pPr>
        <w:spacing w:after="201" w:line="259" w:lineRule="auto"/>
        <w:ind w:left="0" w:firstLine="0"/>
      </w:pPr>
      <w:r>
        <w:rPr>
          <w:sz w:val="20"/>
        </w:rPr>
        <w:t xml:space="preserve"> </w:t>
      </w:r>
      <w:r>
        <w:rPr>
          <w:b/>
        </w:rPr>
        <w:t xml:space="preserve">Annex 4 - Budget </w:t>
      </w:r>
    </w:p>
    <w:p w:rsidR="00243000" w:rsidRDefault="001A69EF">
      <w:pPr>
        <w:ind w:left="-5" w:right="13"/>
      </w:pPr>
      <w:r>
        <w:t xml:space="preserve">Newton Researcher Links Travel Grants are intended to be a contribution to the travel, subsistence, visa, insurance costs that researchers incur during their visit. Contributions towards these costs have been calculated using flat rates, depending on the country of the proposed visit and the duration of the visit. Please note that the unit costs given below constitute the maximum amounts that can be requested in each category and that all budget requests will be assessed for feasibility and appropriateness. While the maximum contribution cannot be exceeded, applicants can request less, in which case the amount requested cannot be increased at a later stage. </w:t>
      </w:r>
    </w:p>
    <w:p w:rsidR="00243000" w:rsidRDefault="001A69EF">
      <w:pPr>
        <w:ind w:left="-5" w:right="13"/>
      </w:pPr>
      <w:r>
        <w:t xml:space="preserve">A small amount, up to £250, can be added for consumables (however, it is expected that the receiving laboratory or department will provide most of these resources). The maximum amounts for each part of the grant, and the maximum total grant that can be requested are shown in the table below, but it is expected that the requested budget reflects the actual costs expected to be incurred. </w:t>
      </w:r>
    </w:p>
    <w:p w:rsidR="00243000" w:rsidRDefault="001A69EF">
      <w:pPr>
        <w:ind w:left="-5" w:right="13"/>
      </w:pPr>
      <w:r>
        <w:t xml:space="preserve">Additional support based on direct costs can be requested to contribute towards extra childcare costs associated with the visit (up to a maximum of 5% of the subsistence costs requested) and special needs. </w:t>
      </w:r>
    </w:p>
    <w:p w:rsidR="00243000" w:rsidRDefault="001A69EF">
      <w:pPr>
        <w:ind w:left="-5" w:right="13"/>
      </w:pPr>
      <w:r>
        <w:t>Support for special needs should be requested in writing (</w:t>
      </w:r>
      <w:r>
        <w:rPr>
          <w:color w:val="0000FF"/>
          <w:u w:val="single" w:color="0000FF"/>
        </w:rPr>
        <w:t>UK-ResearcherLinks@britishcouncil.org)</w:t>
      </w:r>
      <w:r>
        <w:t xml:space="preserve">. Requests will be assessed and agreed on an individual basis. </w:t>
      </w:r>
    </w:p>
    <w:p w:rsidR="00243000" w:rsidRDefault="001A69EF">
      <w:pPr>
        <w:spacing w:after="10"/>
        <w:ind w:left="-5" w:right="13"/>
      </w:pPr>
      <w:r w:rsidRPr="00DB5A95">
        <w:t xml:space="preserve">Subsistence amounts have been calculated referring to EC Programmes and British Council local information. Please note that 1 month is </w:t>
      </w:r>
      <w:r w:rsidR="00DB5A95">
        <w:t xml:space="preserve">considered </w:t>
      </w:r>
      <w:r w:rsidRPr="00DB5A95">
        <w:t>weeks.</w:t>
      </w:r>
      <w:r>
        <w:t xml:space="preserve"> </w:t>
      </w:r>
    </w:p>
    <w:p w:rsidR="00D16545" w:rsidRDefault="00D16545" w:rsidP="00D16545">
      <w:pPr>
        <w:spacing w:after="10"/>
        <w:ind w:left="0" w:right="13" w:firstLine="0"/>
      </w:pPr>
    </w:p>
    <w:p w:rsidR="00D16545" w:rsidRPr="00D16545" w:rsidRDefault="00A2502E" w:rsidP="00D16545">
      <w:pPr>
        <w:spacing w:after="10"/>
        <w:ind w:left="0" w:right="13" w:firstLine="0"/>
        <w:rPr>
          <w:b/>
        </w:rPr>
      </w:pPr>
      <w:r>
        <w:rPr>
          <w:b/>
        </w:rPr>
        <w:t xml:space="preserve">Direction of travel: </w:t>
      </w:r>
      <w:r w:rsidR="00D16545" w:rsidRPr="00D16545">
        <w:rPr>
          <w:b/>
        </w:rPr>
        <w:t>UK</w:t>
      </w:r>
      <w:r w:rsidR="00D16545">
        <w:rPr>
          <w:b/>
        </w:rPr>
        <w:t xml:space="preserve"> to</w:t>
      </w:r>
      <w:r w:rsidR="00D16545" w:rsidRPr="00D16545">
        <w:rPr>
          <w:b/>
        </w:rPr>
        <w:t xml:space="preserve"> </w:t>
      </w:r>
      <w:r w:rsidR="009D793A">
        <w:rPr>
          <w:b/>
        </w:rPr>
        <w:t xml:space="preserve">partner country </w:t>
      </w:r>
    </w:p>
    <w:tbl>
      <w:tblPr>
        <w:tblStyle w:val="TableGrid"/>
        <w:tblW w:w="15127" w:type="dxa"/>
        <w:tblInd w:w="-108" w:type="dxa"/>
        <w:tblCellMar>
          <w:top w:w="9" w:type="dxa"/>
          <w:left w:w="106" w:type="dxa"/>
          <w:right w:w="72" w:type="dxa"/>
        </w:tblCellMar>
        <w:tblLook w:val="04A0" w:firstRow="1" w:lastRow="0" w:firstColumn="1" w:lastColumn="0" w:noHBand="0" w:noVBand="1"/>
      </w:tblPr>
      <w:tblGrid>
        <w:gridCol w:w="1439"/>
        <w:gridCol w:w="1249"/>
        <w:gridCol w:w="1139"/>
        <w:gridCol w:w="1802"/>
        <w:gridCol w:w="1305"/>
        <w:gridCol w:w="1298"/>
        <w:gridCol w:w="1518"/>
        <w:gridCol w:w="1019"/>
        <w:gridCol w:w="1017"/>
        <w:gridCol w:w="911"/>
        <w:gridCol w:w="1017"/>
        <w:gridCol w:w="1413"/>
      </w:tblGrid>
      <w:tr w:rsidR="00A2502E" w:rsidTr="000B40EF">
        <w:trPr>
          <w:trHeight w:val="1216"/>
        </w:trPr>
        <w:tc>
          <w:tcPr>
            <w:tcW w:w="1439" w:type="dxa"/>
            <w:vMerge w:val="restart"/>
            <w:tcBorders>
              <w:top w:val="single" w:sz="4" w:space="0" w:color="000000"/>
              <w:left w:val="single" w:sz="4" w:space="0" w:color="000000"/>
              <w:bottom w:val="single" w:sz="4" w:space="0" w:color="000000"/>
              <w:right w:val="single" w:sz="4" w:space="0" w:color="000000"/>
            </w:tcBorders>
          </w:tcPr>
          <w:p w:rsidR="00A2502E" w:rsidRDefault="00EB3742">
            <w:pPr>
              <w:spacing w:after="946" w:line="239" w:lineRule="auto"/>
              <w:ind w:left="0" w:firstLine="0"/>
              <w:jc w:val="center"/>
            </w:pPr>
            <w:r>
              <w:rPr>
                <w:b/>
                <w:sz w:val="20"/>
              </w:rPr>
              <w:t>Country of departure</w:t>
            </w:r>
            <w:r w:rsidR="00A2502E">
              <w:rPr>
                <w:b/>
                <w:sz w:val="20"/>
              </w:rPr>
              <w:t xml:space="preserve"> </w:t>
            </w:r>
          </w:p>
          <w:p w:rsidR="00A2502E" w:rsidRDefault="00A2502E">
            <w:pPr>
              <w:spacing w:after="0" w:line="259" w:lineRule="auto"/>
              <w:ind w:left="2" w:firstLine="0"/>
            </w:pPr>
            <w:r>
              <w:rPr>
                <w:sz w:val="20"/>
              </w:rPr>
              <w:t xml:space="preserve"> </w:t>
            </w:r>
          </w:p>
        </w:tc>
        <w:tc>
          <w:tcPr>
            <w:tcW w:w="1249" w:type="dxa"/>
            <w:vMerge w:val="restart"/>
            <w:tcBorders>
              <w:top w:val="single" w:sz="4" w:space="0" w:color="000000"/>
              <w:left w:val="single" w:sz="4" w:space="0" w:color="000000"/>
              <w:right w:val="single" w:sz="4" w:space="0" w:color="000000"/>
            </w:tcBorders>
          </w:tcPr>
          <w:p w:rsidR="00A2502E" w:rsidRDefault="00EB3742">
            <w:pPr>
              <w:spacing w:after="714" w:line="240" w:lineRule="auto"/>
              <w:ind w:left="22" w:hanging="18"/>
              <w:jc w:val="center"/>
              <w:rPr>
                <w:b/>
                <w:sz w:val="20"/>
              </w:rPr>
            </w:pPr>
            <w:r>
              <w:rPr>
                <w:b/>
                <w:sz w:val="20"/>
              </w:rPr>
              <w:t>Country of destination</w:t>
            </w:r>
          </w:p>
        </w:tc>
        <w:tc>
          <w:tcPr>
            <w:tcW w:w="1139" w:type="dxa"/>
            <w:vMerge w:val="restart"/>
            <w:tcBorders>
              <w:top w:val="single" w:sz="4" w:space="0" w:color="000000"/>
              <w:left w:val="single" w:sz="4" w:space="0" w:color="000000"/>
              <w:bottom w:val="single" w:sz="4" w:space="0" w:color="000000"/>
              <w:right w:val="single" w:sz="4" w:space="0" w:color="000000"/>
            </w:tcBorders>
          </w:tcPr>
          <w:p w:rsidR="00A2502E" w:rsidRDefault="00A2502E">
            <w:pPr>
              <w:spacing w:after="714" w:line="240" w:lineRule="auto"/>
              <w:ind w:left="22" w:hanging="18"/>
              <w:jc w:val="center"/>
            </w:pPr>
            <w:r>
              <w:rPr>
                <w:b/>
                <w:sz w:val="20"/>
              </w:rPr>
              <w:t xml:space="preserve">Maximum travel costs </w:t>
            </w:r>
          </w:p>
          <w:p w:rsidR="00A2502E" w:rsidRDefault="00A2502E">
            <w:pPr>
              <w:spacing w:after="0" w:line="259" w:lineRule="auto"/>
              <w:ind w:left="0" w:firstLine="0"/>
            </w:pPr>
            <w:r>
              <w:rPr>
                <w:sz w:val="20"/>
              </w:rPr>
              <w:t xml:space="preserve"> </w:t>
            </w:r>
          </w:p>
        </w:tc>
        <w:tc>
          <w:tcPr>
            <w:tcW w:w="1802" w:type="dxa"/>
            <w:vMerge w:val="restart"/>
            <w:tcBorders>
              <w:top w:val="single" w:sz="4" w:space="0" w:color="000000"/>
              <w:left w:val="single" w:sz="4" w:space="0" w:color="000000"/>
              <w:bottom w:val="single" w:sz="4" w:space="0" w:color="000000"/>
              <w:right w:val="single" w:sz="4" w:space="0" w:color="000000"/>
            </w:tcBorders>
          </w:tcPr>
          <w:p w:rsidR="00A2502E" w:rsidRDefault="00A2502E">
            <w:pPr>
              <w:spacing w:after="3" w:line="239" w:lineRule="auto"/>
              <w:ind w:left="0" w:firstLine="0"/>
              <w:jc w:val="center"/>
            </w:pPr>
            <w:r>
              <w:rPr>
                <w:b/>
                <w:sz w:val="20"/>
              </w:rPr>
              <w:t xml:space="preserve">Accommodation and </w:t>
            </w:r>
          </w:p>
          <w:p w:rsidR="00A2502E" w:rsidRDefault="00A2502E">
            <w:pPr>
              <w:spacing w:after="103" w:line="259" w:lineRule="auto"/>
              <w:ind w:left="0" w:right="41" w:firstLine="0"/>
              <w:jc w:val="center"/>
            </w:pPr>
            <w:r>
              <w:rPr>
                <w:b/>
                <w:sz w:val="20"/>
              </w:rPr>
              <w:t xml:space="preserve">Subsistence* </w:t>
            </w:r>
          </w:p>
          <w:p w:rsidR="00A2502E" w:rsidRDefault="00A2502E">
            <w:pPr>
              <w:spacing w:after="345" w:line="259" w:lineRule="auto"/>
              <w:ind w:left="0" w:right="39" w:firstLine="0"/>
              <w:jc w:val="center"/>
            </w:pPr>
            <w:r>
              <w:rPr>
                <w:b/>
                <w:sz w:val="20"/>
              </w:rPr>
              <w:t xml:space="preserve">(per month) </w:t>
            </w:r>
          </w:p>
          <w:p w:rsidR="00A2502E" w:rsidRDefault="00A2502E">
            <w:pPr>
              <w:spacing w:after="0" w:line="259" w:lineRule="auto"/>
              <w:ind w:left="0" w:firstLine="0"/>
            </w:pPr>
            <w:r>
              <w:rPr>
                <w:sz w:val="20"/>
              </w:rPr>
              <w:t xml:space="preserve"> </w:t>
            </w:r>
          </w:p>
        </w:tc>
        <w:tc>
          <w:tcPr>
            <w:tcW w:w="1305" w:type="dxa"/>
            <w:vMerge w:val="restart"/>
            <w:tcBorders>
              <w:top w:val="single" w:sz="4" w:space="0" w:color="000000"/>
              <w:left w:val="single" w:sz="4" w:space="0" w:color="000000"/>
              <w:bottom w:val="single" w:sz="4" w:space="0" w:color="000000"/>
              <w:right w:val="single" w:sz="4" w:space="0" w:color="000000"/>
            </w:tcBorders>
          </w:tcPr>
          <w:p w:rsidR="00A2502E" w:rsidRDefault="00A2502E">
            <w:pPr>
              <w:spacing w:after="0" w:line="259" w:lineRule="auto"/>
              <w:ind w:left="0" w:right="35" w:firstLine="0"/>
              <w:jc w:val="center"/>
            </w:pPr>
            <w:r>
              <w:rPr>
                <w:b/>
                <w:sz w:val="20"/>
              </w:rPr>
              <w:t xml:space="preserve">Maximum </w:t>
            </w:r>
          </w:p>
          <w:p w:rsidR="00A2502E" w:rsidRDefault="00A2502E">
            <w:pPr>
              <w:spacing w:after="927" w:line="259" w:lineRule="auto"/>
              <w:ind w:left="0" w:right="39" w:firstLine="0"/>
              <w:jc w:val="center"/>
            </w:pPr>
            <w:r>
              <w:rPr>
                <w:b/>
                <w:sz w:val="20"/>
              </w:rPr>
              <w:t xml:space="preserve">Visa costs </w:t>
            </w:r>
          </w:p>
          <w:p w:rsidR="00A2502E" w:rsidRDefault="00A2502E">
            <w:pPr>
              <w:spacing w:after="0" w:line="259" w:lineRule="auto"/>
              <w:ind w:left="2" w:firstLine="0"/>
            </w:pPr>
            <w:r>
              <w:rPr>
                <w:sz w:val="20"/>
              </w:rPr>
              <w:t xml:space="preserve"> </w:t>
            </w:r>
          </w:p>
        </w:tc>
        <w:tc>
          <w:tcPr>
            <w:tcW w:w="1298" w:type="dxa"/>
            <w:vMerge w:val="restart"/>
            <w:tcBorders>
              <w:top w:val="single" w:sz="4" w:space="0" w:color="000000"/>
              <w:left w:val="single" w:sz="4" w:space="0" w:color="000000"/>
              <w:bottom w:val="single" w:sz="4" w:space="0" w:color="000000"/>
              <w:right w:val="single" w:sz="4" w:space="0" w:color="000000"/>
            </w:tcBorders>
          </w:tcPr>
          <w:p w:rsidR="00A2502E" w:rsidRDefault="00A2502E">
            <w:pPr>
              <w:spacing w:after="3" w:line="239" w:lineRule="auto"/>
              <w:ind w:left="0" w:firstLine="0"/>
              <w:jc w:val="center"/>
            </w:pPr>
            <w:r>
              <w:rPr>
                <w:b/>
                <w:sz w:val="20"/>
              </w:rPr>
              <w:t xml:space="preserve">Maximum travel </w:t>
            </w:r>
          </w:p>
          <w:p w:rsidR="00A2502E" w:rsidRDefault="00A2502E">
            <w:pPr>
              <w:spacing w:after="120" w:line="241" w:lineRule="auto"/>
              <w:ind w:left="0" w:firstLine="0"/>
              <w:jc w:val="center"/>
            </w:pPr>
            <w:r>
              <w:rPr>
                <w:b/>
                <w:sz w:val="20"/>
              </w:rPr>
              <w:t xml:space="preserve">insurance costs </w:t>
            </w:r>
          </w:p>
          <w:p w:rsidR="00A2502E" w:rsidRDefault="00A2502E">
            <w:pPr>
              <w:spacing w:after="115" w:line="259" w:lineRule="auto"/>
              <w:ind w:left="17" w:firstLine="0"/>
            </w:pPr>
            <w:r>
              <w:rPr>
                <w:b/>
                <w:sz w:val="20"/>
              </w:rPr>
              <w:t xml:space="preserve">per month </w:t>
            </w:r>
            <w:r w:rsidR="005F7D3B">
              <w:rPr>
                <w:b/>
                <w:sz w:val="20"/>
              </w:rPr>
              <w:t xml:space="preserve"> </w:t>
            </w:r>
            <w:r>
              <w:rPr>
                <w:b/>
                <w:sz w:val="20"/>
              </w:rPr>
              <w:t xml:space="preserve"> </w:t>
            </w:r>
          </w:p>
          <w:p w:rsidR="00A2502E" w:rsidRDefault="00A2502E">
            <w:pPr>
              <w:spacing w:after="0" w:line="259" w:lineRule="auto"/>
              <w:ind w:left="0" w:firstLine="0"/>
            </w:pPr>
            <w:r>
              <w:rPr>
                <w:sz w:val="20"/>
              </w:rPr>
              <w:t xml:space="preserve"> </w:t>
            </w:r>
          </w:p>
        </w:tc>
        <w:tc>
          <w:tcPr>
            <w:tcW w:w="1518" w:type="dxa"/>
            <w:vMerge w:val="restart"/>
            <w:tcBorders>
              <w:top w:val="single" w:sz="4" w:space="0" w:color="000000"/>
              <w:left w:val="single" w:sz="4" w:space="0" w:color="000000"/>
              <w:bottom w:val="single" w:sz="4" w:space="0" w:color="000000"/>
              <w:right w:val="single" w:sz="4" w:space="0" w:color="000000"/>
            </w:tcBorders>
          </w:tcPr>
          <w:p w:rsidR="00A2502E" w:rsidRDefault="00A2502E">
            <w:pPr>
              <w:spacing w:after="946" w:line="239" w:lineRule="auto"/>
              <w:ind w:left="0" w:firstLine="0"/>
              <w:jc w:val="center"/>
            </w:pPr>
            <w:r>
              <w:rPr>
                <w:b/>
                <w:sz w:val="20"/>
              </w:rPr>
              <w:t xml:space="preserve">Maximum consumables </w:t>
            </w:r>
          </w:p>
          <w:p w:rsidR="00A2502E" w:rsidRDefault="00A2502E">
            <w:pPr>
              <w:spacing w:after="0" w:line="259" w:lineRule="auto"/>
              <w:ind w:left="2" w:firstLine="0"/>
            </w:pPr>
            <w:r>
              <w:rPr>
                <w:sz w:val="20"/>
              </w:rPr>
              <w:t xml:space="preserve"> </w:t>
            </w:r>
          </w:p>
        </w:tc>
        <w:tc>
          <w:tcPr>
            <w:tcW w:w="1019" w:type="dxa"/>
            <w:tcBorders>
              <w:top w:val="single" w:sz="4" w:space="0" w:color="000000"/>
              <w:left w:val="single" w:sz="4" w:space="0" w:color="000000"/>
              <w:bottom w:val="single" w:sz="4" w:space="0" w:color="000000"/>
              <w:right w:val="nil"/>
            </w:tcBorders>
          </w:tcPr>
          <w:p w:rsidR="00A2502E" w:rsidRDefault="00A2502E">
            <w:pPr>
              <w:spacing w:after="160" w:line="259" w:lineRule="auto"/>
              <w:ind w:left="0" w:firstLine="0"/>
            </w:pPr>
          </w:p>
        </w:tc>
        <w:tc>
          <w:tcPr>
            <w:tcW w:w="2945" w:type="dxa"/>
            <w:gridSpan w:val="3"/>
            <w:tcBorders>
              <w:top w:val="single" w:sz="4" w:space="0" w:color="000000"/>
              <w:left w:val="nil"/>
              <w:bottom w:val="single" w:sz="4" w:space="0" w:color="000000"/>
              <w:right w:val="nil"/>
            </w:tcBorders>
          </w:tcPr>
          <w:p w:rsidR="00A2502E" w:rsidRDefault="00A2502E">
            <w:pPr>
              <w:spacing w:after="0" w:line="259" w:lineRule="auto"/>
              <w:ind w:left="0" w:right="39" w:firstLine="0"/>
              <w:jc w:val="center"/>
            </w:pPr>
            <w:r>
              <w:rPr>
                <w:b/>
                <w:sz w:val="20"/>
              </w:rPr>
              <w:t xml:space="preserve">Maximum Total cost </w:t>
            </w:r>
          </w:p>
        </w:tc>
        <w:tc>
          <w:tcPr>
            <w:tcW w:w="1413" w:type="dxa"/>
            <w:tcBorders>
              <w:top w:val="single" w:sz="4" w:space="0" w:color="000000"/>
              <w:left w:val="nil"/>
              <w:bottom w:val="single" w:sz="4" w:space="0" w:color="000000"/>
              <w:right w:val="single" w:sz="4" w:space="0" w:color="000000"/>
            </w:tcBorders>
          </w:tcPr>
          <w:p w:rsidR="00A2502E" w:rsidRDefault="00A2502E">
            <w:pPr>
              <w:spacing w:after="160" w:line="259" w:lineRule="auto"/>
              <w:ind w:left="0" w:firstLine="0"/>
            </w:pPr>
          </w:p>
        </w:tc>
      </w:tr>
      <w:tr w:rsidR="00A2502E" w:rsidTr="004E3582">
        <w:trPr>
          <w:trHeight w:val="590"/>
        </w:trPr>
        <w:tc>
          <w:tcPr>
            <w:tcW w:w="0" w:type="auto"/>
            <w:vMerge/>
            <w:tcBorders>
              <w:top w:val="nil"/>
              <w:left w:val="single" w:sz="4" w:space="0" w:color="000000"/>
              <w:bottom w:val="single" w:sz="4" w:space="0" w:color="000000"/>
              <w:right w:val="single" w:sz="4" w:space="0" w:color="000000"/>
            </w:tcBorders>
          </w:tcPr>
          <w:p w:rsidR="00A2502E" w:rsidRDefault="00A2502E">
            <w:pPr>
              <w:spacing w:after="160" w:line="259" w:lineRule="auto"/>
              <w:ind w:left="0" w:firstLine="0"/>
            </w:pPr>
          </w:p>
        </w:tc>
        <w:tc>
          <w:tcPr>
            <w:tcW w:w="1249" w:type="dxa"/>
            <w:vMerge/>
            <w:tcBorders>
              <w:left w:val="single" w:sz="4" w:space="0" w:color="000000"/>
              <w:bottom w:val="single" w:sz="4" w:space="0" w:color="000000"/>
              <w:right w:val="single" w:sz="4" w:space="0" w:color="000000"/>
            </w:tcBorders>
          </w:tcPr>
          <w:p w:rsidR="00A2502E" w:rsidRDefault="00A2502E">
            <w:pPr>
              <w:spacing w:after="160" w:line="259" w:lineRule="auto"/>
              <w:ind w:left="0" w:firstLine="0"/>
            </w:pPr>
          </w:p>
        </w:tc>
        <w:tc>
          <w:tcPr>
            <w:tcW w:w="1139" w:type="dxa"/>
            <w:vMerge/>
            <w:tcBorders>
              <w:top w:val="nil"/>
              <w:left w:val="single" w:sz="4" w:space="0" w:color="000000"/>
              <w:bottom w:val="single" w:sz="4" w:space="0" w:color="000000"/>
              <w:right w:val="single" w:sz="4" w:space="0" w:color="000000"/>
            </w:tcBorders>
          </w:tcPr>
          <w:p w:rsidR="00A2502E" w:rsidRDefault="00A2502E">
            <w:pPr>
              <w:spacing w:after="160" w:line="259" w:lineRule="auto"/>
              <w:ind w:left="0" w:firstLine="0"/>
            </w:pPr>
          </w:p>
        </w:tc>
        <w:tc>
          <w:tcPr>
            <w:tcW w:w="1802" w:type="dxa"/>
            <w:vMerge/>
            <w:tcBorders>
              <w:top w:val="nil"/>
              <w:left w:val="single" w:sz="4" w:space="0" w:color="000000"/>
              <w:bottom w:val="single" w:sz="4" w:space="0" w:color="000000"/>
              <w:right w:val="single" w:sz="4" w:space="0" w:color="000000"/>
            </w:tcBorders>
          </w:tcPr>
          <w:p w:rsidR="00A2502E" w:rsidRDefault="00A2502E">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2502E" w:rsidRDefault="00A2502E">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2502E" w:rsidRDefault="00A2502E">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2502E" w:rsidRDefault="00A2502E">
            <w:pPr>
              <w:spacing w:after="160" w:line="259" w:lineRule="auto"/>
              <w:ind w:left="0" w:firstLine="0"/>
            </w:pPr>
          </w:p>
        </w:tc>
        <w:tc>
          <w:tcPr>
            <w:tcW w:w="1019" w:type="dxa"/>
            <w:tcBorders>
              <w:top w:val="single" w:sz="4" w:space="0" w:color="000000"/>
              <w:left w:val="single" w:sz="4" w:space="0" w:color="000000"/>
              <w:bottom w:val="single" w:sz="4" w:space="0" w:color="000000"/>
              <w:right w:val="single" w:sz="4" w:space="0" w:color="000000"/>
            </w:tcBorders>
          </w:tcPr>
          <w:p w:rsidR="00A2502E" w:rsidRDefault="00A2502E">
            <w:pPr>
              <w:spacing w:after="0" w:line="259" w:lineRule="auto"/>
              <w:ind w:left="2" w:firstLine="0"/>
            </w:pPr>
            <w:r>
              <w:rPr>
                <w:sz w:val="20"/>
              </w:rPr>
              <w:t xml:space="preserve">2-month </w:t>
            </w:r>
          </w:p>
          <w:p w:rsidR="00A2502E" w:rsidRDefault="00A2502E">
            <w:pPr>
              <w:spacing w:after="0" w:line="259" w:lineRule="auto"/>
              <w:ind w:left="2" w:firstLine="0"/>
            </w:pPr>
            <w:r>
              <w:rPr>
                <w:sz w:val="20"/>
              </w:rPr>
              <w:t xml:space="preserve">visit </w:t>
            </w:r>
          </w:p>
        </w:tc>
        <w:tc>
          <w:tcPr>
            <w:tcW w:w="1017" w:type="dxa"/>
            <w:tcBorders>
              <w:top w:val="single" w:sz="4" w:space="0" w:color="000000"/>
              <w:left w:val="single" w:sz="4" w:space="0" w:color="000000"/>
              <w:bottom w:val="single" w:sz="4" w:space="0" w:color="000000"/>
              <w:right w:val="single" w:sz="4" w:space="0" w:color="000000"/>
            </w:tcBorders>
          </w:tcPr>
          <w:p w:rsidR="00A2502E" w:rsidRDefault="00A2502E">
            <w:pPr>
              <w:spacing w:after="0" w:line="259" w:lineRule="auto"/>
              <w:ind w:left="0" w:firstLine="0"/>
            </w:pPr>
            <w:r>
              <w:rPr>
                <w:sz w:val="20"/>
              </w:rPr>
              <w:t xml:space="preserve">3-month </w:t>
            </w:r>
          </w:p>
          <w:p w:rsidR="00A2502E" w:rsidRDefault="00A2502E">
            <w:pPr>
              <w:spacing w:after="0" w:line="259" w:lineRule="auto"/>
              <w:ind w:left="0" w:firstLine="0"/>
            </w:pPr>
            <w:r>
              <w:rPr>
                <w:sz w:val="20"/>
              </w:rPr>
              <w:t xml:space="preserve">visit </w:t>
            </w:r>
          </w:p>
        </w:tc>
        <w:tc>
          <w:tcPr>
            <w:tcW w:w="911" w:type="dxa"/>
            <w:tcBorders>
              <w:top w:val="single" w:sz="4" w:space="0" w:color="000000"/>
              <w:left w:val="single" w:sz="4" w:space="0" w:color="000000"/>
              <w:bottom w:val="single" w:sz="4" w:space="0" w:color="000000"/>
              <w:right w:val="single" w:sz="4" w:space="0" w:color="000000"/>
            </w:tcBorders>
          </w:tcPr>
          <w:p w:rsidR="00A2502E" w:rsidRDefault="00A2502E" w:rsidP="000B40EF">
            <w:pPr>
              <w:spacing w:after="0" w:line="259" w:lineRule="auto"/>
              <w:ind w:left="2" w:firstLine="0"/>
            </w:pPr>
            <w:r>
              <w:rPr>
                <w:sz w:val="20"/>
              </w:rPr>
              <w:t xml:space="preserve">4-month visit </w:t>
            </w:r>
          </w:p>
        </w:tc>
        <w:tc>
          <w:tcPr>
            <w:tcW w:w="1017" w:type="dxa"/>
            <w:tcBorders>
              <w:top w:val="single" w:sz="4" w:space="0" w:color="000000"/>
              <w:left w:val="single" w:sz="4" w:space="0" w:color="000000"/>
              <w:bottom w:val="single" w:sz="4" w:space="0" w:color="000000"/>
              <w:right w:val="single" w:sz="4" w:space="0" w:color="000000"/>
            </w:tcBorders>
          </w:tcPr>
          <w:p w:rsidR="00A2502E" w:rsidRDefault="00A2502E">
            <w:pPr>
              <w:spacing w:after="0" w:line="259" w:lineRule="auto"/>
              <w:ind w:left="0" w:firstLine="0"/>
            </w:pPr>
            <w:r>
              <w:rPr>
                <w:sz w:val="20"/>
              </w:rPr>
              <w:t xml:space="preserve">5-month </w:t>
            </w:r>
          </w:p>
          <w:p w:rsidR="00A2502E" w:rsidRDefault="00A2502E">
            <w:pPr>
              <w:spacing w:after="0" w:line="259" w:lineRule="auto"/>
              <w:ind w:left="0" w:firstLine="0"/>
            </w:pPr>
            <w:r>
              <w:rPr>
                <w:sz w:val="20"/>
              </w:rPr>
              <w:t xml:space="preserve">visit </w:t>
            </w:r>
          </w:p>
        </w:tc>
        <w:tc>
          <w:tcPr>
            <w:tcW w:w="1413" w:type="dxa"/>
            <w:tcBorders>
              <w:top w:val="single" w:sz="4" w:space="0" w:color="000000"/>
              <w:left w:val="single" w:sz="4" w:space="0" w:color="000000"/>
              <w:bottom w:val="single" w:sz="4" w:space="0" w:color="000000"/>
              <w:right w:val="single" w:sz="4" w:space="0" w:color="000000"/>
            </w:tcBorders>
          </w:tcPr>
          <w:p w:rsidR="00A2502E" w:rsidRDefault="00A2502E">
            <w:pPr>
              <w:spacing w:after="0" w:line="259" w:lineRule="auto"/>
              <w:ind w:left="2" w:firstLine="0"/>
            </w:pPr>
            <w:r>
              <w:rPr>
                <w:sz w:val="20"/>
              </w:rPr>
              <w:t xml:space="preserve">6-month </w:t>
            </w:r>
          </w:p>
          <w:p w:rsidR="00A2502E" w:rsidRDefault="00A2502E">
            <w:pPr>
              <w:spacing w:after="0" w:line="259" w:lineRule="auto"/>
              <w:ind w:left="2" w:firstLine="0"/>
            </w:pPr>
            <w:r>
              <w:rPr>
                <w:sz w:val="20"/>
              </w:rPr>
              <w:t xml:space="preserve">visit </w:t>
            </w:r>
          </w:p>
        </w:tc>
      </w:tr>
      <w:tr w:rsidR="004E3582" w:rsidRPr="003F4669" w:rsidTr="004E3582">
        <w:trPr>
          <w:trHeight w:val="385"/>
        </w:trPr>
        <w:tc>
          <w:tcPr>
            <w:tcW w:w="1439" w:type="dxa"/>
            <w:tcBorders>
              <w:top w:val="single" w:sz="4" w:space="0" w:color="000000"/>
              <w:left w:val="single" w:sz="4" w:space="0" w:color="000000"/>
              <w:bottom w:val="single" w:sz="4" w:space="0" w:color="000000"/>
              <w:right w:val="single" w:sz="4" w:space="0" w:color="000000"/>
            </w:tcBorders>
          </w:tcPr>
          <w:p w:rsidR="004E3582" w:rsidRPr="003F4669" w:rsidRDefault="004E3582">
            <w:pPr>
              <w:spacing w:after="0" w:line="259" w:lineRule="auto"/>
              <w:ind w:left="2" w:firstLine="0"/>
            </w:pPr>
            <w:r w:rsidRPr="003F4669">
              <w:t>United Kingdom</w:t>
            </w:r>
          </w:p>
        </w:tc>
        <w:tc>
          <w:tcPr>
            <w:tcW w:w="1249" w:type="dxa"/>
            <w:tcBorders>
              <w:top w:val="single" w:sz="4" w:space="0" w:color="000000"/>
              <w:left w:val="single" w:sz="4" w:space="0" w:color="000000"/>
              <w:bottom w:val="single" w:sz="4" w:space="0" w:color="000000"/>
              <w:right w:val="single" w:sz="4" w:space="0" w:color="000000"/>
            </w:tcBorders>
          </w:tcPr>
          <w:p w:rsidR="004E3582" w:rsidRPr="003F4669" w:rsidRDefault="004E3582">
            <w:pPr>
              <w:spacing w:after="0" w:line="259" w:lineRule="auto"/>
              <w:ind w:left="0" w:firstLine="0"/>
            </w:pPr>
            <w:r w:rsidRPr="003F4669">
              <w:t>Vietnam</w:t>
            </w:r>
          </w:p>
        </w:tc>
        <w:tc>
          <w:tcPr>
            <w:tcW w:w="1139" w:type="dxa"/>
            <w:tcBorders>
              <w:top w:val="single" w:sz="4" w:space="0" w:color="000000"/>
              <w:left w:val="single" w:sz="4" w:space="0" w:color="000000"/>
              <w:bottom w:val="single" w:sz="4" w:space="0" w:color="000000"/>
              <w:right w:val="single" w:sz="4" w:space="0" w:color="000000"/>
            </w:tcBorders>
          </w:tcPr>
          <w:p w:rsidR="004E3582" w:rsidRPr="00AC05E1" w:rsidRDefault="004009A9">
            <w:pPr>
              <w:spacing w:after="0" w:line="259" w:lineRule="auto"/>
              <w:ind w:left="0" w:firstLine="0"/>
            </w:pPr>
            <w:r>
              <w:t>£2,000</w:t>
            </w:r>
          </w:p>
        </w:tc>
        <w:tc>
          <w:tcPr>
            <w:tcW w:w="1802" w:type="dxa"/>
            <w:tcBorders>
              <w:top w:val="single" w:sz="4" w:space="0" w:color="000000"/>
              <w:left w:val="single" w:sz="4" w:space="0" w:color="000000"/>
              <w:bottom w:val="single" w:sz="4" w:space="0" w:color="000000"/>
              <w:right w:val="single" w:sz="4" w:space="0" w:color="000000"/>
            </w:tcBorders>
          </w:tcPr>
          <w:p w:rsidR="004E3582" w:rsidRPr="00AC05E1" w:rsidRDefault="004009A9">
            <w:pPr>
              <w:spacing w:after="0" w:line="259" w:lineRule="auto"/>
              <w:ind w:left="0" w:firstLine="0"/>
            </w:pPr>
            <w:r>
              <w:t>£1,000</w:t>
            </w:r>
          </w:p>
        </w:tc>
        <w:tc>
          <w:tcPr>
            <w:tcW w:w="1305" w:type="dxa"/>
            <w:tcBorders>
              <w:top w:val="single" w:sz="4" w:space="0" w:color="000000"/>
              <w:left w:val="single" w:sz="4" w:space="0" w:color="000000"/>
              <w:bottom w:val="single" w:sz="4" w:space="0" w:color="000000"/>
              <w:right w:val="single" w:sz="4" w:space="0" w:color="000000"/>
            </w:tcBorders>
          </w:tcPr>
          <w:p w:rsidR="004E3582" w:rsidRPr="00AC05E1" w:rsidRDefault="004009A9">
            <w:pPr>
              <w:spacing w:after="0" w:line="259" w:lineRule="auto"/>
              <w:ind w:left="2" w:firstLine="0"/>
            </w:pPr>
            <w:r>
              <w:t>£150</w:t>
            </w:r>
          </w:p>
        </w:tc>
        <w:tc>
          <w:tcPr>
            <w:tcW w:w="1298" w:type="dxa"/>
            <w:tcBorders>
              <w:top w:val="single" w:sz="4" w:space="0" w:color="000000"/>
              <w:left w:val="single" w:sz="4" w:space="0" w:color="000000"/>
              <w:bottom w:val="single" w:sz="4" w:space="0" w:color="000000"/>
              <w:right w:val="single" w:sz="4" w:space="0" w:color="000000"/>
            </w:tcBorders>
          </w:tcPr>
          <w:p w:rsidR="004E3582" w:rsidRPr="00AC05E1" w:rsidRDefault="004009A9">
            <w:pPr>
              <w:spacing w:after="0" w:line="259" w:lineRule="auto"/>
              <w:ind w:left="0" w:firstLine="0"/>
            </w:pPr>
            <w:r>
              <w:t>£65</w:t>
            </w:r>
          </w:p>
        </w:tc>
        <w:tc>
          <w:tcPr>
            <w:tcW w:w="1518" w:type="dxa"/>
            <w:tcBorders>
              <w:top w:val="single" w:sz="4" w:space="0" w:color="000000"/>
              <w:left w:val="single" w:sz="4" w:space="0" w:color="000000"/>
              <w:bottom w:val="single" w:sz="4" w:space="0" w:color="000000"/>
              <w:right w:val="single" w:sz="4" w:space="0" w:color="000000"/>
            </w:tcBorders>
          </w:tcPr>
          <w:p w:rsidR="004E3582" w:rsidRPr="00AC05E1" w:rsidRDefault="003F4669">
            <w:pPr>
              <w:spacing w:after="0" w:line="259" w:lineRule="auto"/>
              <w:ind w:left="2" w:firstLine="0"/>
            </w:pPr>
            <w:r>
              <w:t>£250</w:t>
            </w:r>
          </w:p>
        </w:tc>
        <w:tc>
          <w:tcPr>
            <w:tcW w:w="1019" w:type="dxa"/>
            <w:tcBorders>
              <w:top w:val="single" w:sz="4" w:space="0" w:color="000000"/>
              <w:left w:val="single" w:sz="4" w:space="0" w:color="000000"/>
              <w:bottom w:val="single" w:sz="4" w:space="0" w:color="000000"/>
              <w:right w:val="single" w:sz="4" w:space="0" w:color="000000"/>
            </w:tcBorders>
          </w:tcPr>
          <w:p w:rsidR="004E3582" w:rsidRPr="00AC05E1" w:rsidRDefault="007F4F95">
            <w:pPr>
              <w:spacing w:after="0" w:line="259" w:lineRule="auto"/>
              <w:ind w:left="2" w:firstLine="0"/>
            </w:pPr>
            <w:r>
              <w:t>£4,530</w:t>
            </w:r>
          </w:p>
        </w:tc>
        <w:tc>
          <w:tcPr>
            <w:tcW w:w="1017" w:type="dxa"/>
            <w:tcBorders>
              <w:top w:val="single" w:sz="4" w:space="0" w:color="000000"/>
              <w:left w:val="single" w:sz="4" w:space="0" w:color="000000"/>
              <w:bottom w:val="single" w:sz="4" w:space="0" w:color="000000"/>
              <w:right w:val="single" w:sz="4" w:space="0" w:color="000000"/>
            </w:tcBorders>
          </w:tcPr>
          <w:p w:rsidR="004E3582" w:rsidRPr="00AC05E1" w:rsidRDefault="007F4F95">
            <w:pPr>
              <w:spacing w:after="0" w:line="259" w:lineRule="auto"/>
              <w:ind w:left="0" w:firstLine="0"/>
            </w:pPr>
            <w:r>
              <w:t>£5,595</w:t>
            </w:r>
          </w:p>
        </w:tc>
        <w:tc>
          <w:tcPr>
            <w:tcW w:w="911" w:type="dxa"/>
            <w:tcBorders>
              <w:top w:val="single" w:sz="4" w:space="0" w:color="000000"/>
              <w:left w:val="single" w:sz="4" w:space="0" w:color="000000"/>
              <w:bottom w:val="single" w:sz="4" w:space="0" w:color="000000"/>
              <w:right w:val="single" w:sz="4" w:space="0" w:color="000000"/>
            </w:tcBorders>
          </w:tcPr>
          <w:p w:rsidR="004E3582" w:rsidRPr="00AC05E1" w:rsidRDefault="007F4F95">
            <w:pPr>
              <w:spacing w:after="0" w:line="259" w:lineRule="auto"/>
              <w:ind w:left="2" w:firstLine="0"/>
            </w:pPr>
            <w:r>
              <w:t>£6,660</w:t>
            </w:r>
          </w:p>
        </w:tc>
        <w:tc>
          <w:tcPr>
            <w:tcW w:w="1017" w:type="dxa"/>
            <w:tcBorders>
              <w:top w:val="single" w:sz="4" w:space="0" w:color="000000"/>
              <w:left w:val="single" w:sz="4" w:space="0" w:color="000000"/>
              <w:bottom w:val="single" w:sz="4" w:space="0" w:color="000000"/>
              <w:right w:val="single" w:sz="4" w:space="0" w:color="000000"/>
            </w:tcBorders>
          </w:tcPr>
          <w:p w:rsidR="004E3582" w:rsidRPr="00AC05E1" w:rsidRDefault="007F4F95">
            <w:pPr>
              <w:spacing w:after="0" w:line="259" w:lineRule="auto"/>
              <w:ind w:left="0" w:firstLine="0"/>
            </w:pPr>
            <w:r>
              <w:t>£7</w:t>
            </w:r>
            <w:r w:rsidR="00313F12">
              <w:t>,</w:t>
            </w:r>
            <w:r>
              <w:t>725</w:t>
            </w:r>
          </w:p>
        </w:tc>
        <w:tc>
          <w:tcPr>
            <w:tcW w:w="1413" w:type="dxa"/>
            <w:tcBorders>
              <w:top w:val="single" w:sz="4" w:space="0" w:color="000000"/>
              <w:left w:val="single" w:sz="4" w:space="0" w:color="000000"/>
              <w:bottom w:val="single" w:sz="4" w:space="0" w:color="000000"/>
              <w:right w:val="single" w:sz="4" w:space="0" w:color="000000"/>
            </w:tcBorders>
          </w:tcPr>
          <w:p w:rsidR="004E3582" w:rsidRPr="00AC05E1" w:rsidRDefault="007F4F95">
            <w:pPr>
              <w:spacing w:after="0" w:line="259" w:lineRule="auto"/>
              <w:ind w:left="2" w:firstLine="0"/>
            </w:pPr>
            <w:r>
              <w:t>£8</w:t>
            </w:r>
            <w:r w:rsidR="00313F12">
              <w:t>,</w:t>
            </w:r>
            <w:r>
              <w:t>790</w:t>
            </w:r>
          </w:p>
        </w:tc>
      </w:tr>
    </w:tbl>
    <w:p w:rsidR="009D793A" w:rsidRDefault="009D793A">
      <w:pPr>
        <w:spacing w:after="0" w:line="259" w:lineRule="auto"/>
        <w:ind w:left="0" w:firstLine="0"/>
        <w:rPr>
          <w:b/>
        </w:rPr>
      </w:pPr>
    </w:p>
    <w:p w:rsidR="009D793A" w:rsidRDefault="009D793A">
      <w:pPr>
        <w:spacing w:after="0" w:line="259" w:lineRule="auto"/>
        <w:ind w:left="0" w:firstLine="0"/>
        <w:rPr>
          <w:b/>
        </w:rPr>
      </w:pPr>
    </w:p>
    <w:p w:rsidR="009D793A" w:rsidRDefault="009D793A">
      <w:pPr>
        <w:spacing w:after="0" w:line="259" w:lineRule="auto"/>
        <w:ind w:left="0" w:firstLine="0"/>
        <w:rPr>
          <w:b/>
        </w:rPr>
      </w:pPr>
    </w:p>
    <w:p w:rsidR="009D793A" w:rsidRDefault="009D793A">
      <w:pPr>
        <w:spacing w:after="0" w:line="259" w:lineRule="auto"/>
        <w:ind w:left="0" w:firstLine="0"/>
        <w:rPr>
          <w:b/>
        </w:rPr>
      </w:pPr>
    </w:p>
    <w:p w:rsidR="00D16545" w:rsidRPr="00AC05E1" w:rsidRDefault="00A2502E">
      <w:pPr>
        <w:spacing w:after="0" w:line="259" w:lineRule="auto"/>
        <w:ind w:left="0" w:firstLine="0"/>
        <w:rPr>
          <w:b/>
          <w:color w:val="auto"/>
        </w:rPr>
      </w:pPr>
      <w:r w:rsidRPr="003F4669">
        <w:rPr>
          <w:b/>
        </w:rPr>
        <w:t>Direction of travel:</w:t>
      </w:r>
      <w:r w:rsidRPr="003F4669">
        <w:t xml:space="preserve"> </w:t>
      </w:r>
      <w:r w:rsidR="009D793A">
        <w:rPr>
          <w:b/>
        </w:rPr>
        <w:t>Partner country</w:t>
      </w:r>
      <w:r w:rsidR="00807008" w:rsidRPr="003F4669">
        <w:rPr>
          <w:b/>
        </w:rPr>
        <w:t xml:space="preserve"> to UK</w:t>
      </w:r>
    </w:p>
    <w:tbl>
      <w:tblPr>
        <w:tblStyle w:val="TableGrid"/>
        <w:tblW w:w="15127" w:type="dxa"/>
        <w:tblInd w:w="-108" w:type="dxa"/>
        <w:tblCellMar>
          <w:top w:w="9" w:type="dxa"/>
          <w:left w:w="106" w:type="dxa"/>
          <w:right w:w="72" w:type="dxa"/>
        </w:tblCellMar>
        <w:tblLook w:val="04A0" w:firstRow="1" w:lastRow="0" w:firstColumn="1" w:lastColumn="0" w:noHBand="0" w:noVBand="1"/>
      </w:tblPr>
      <w:tblGrid>
        <w:gridCol w:w="1406"/>
        <w:gridCol w:w="1349"/>
        <w:gridCol w:w="1120"/>
        <w:gridCol w:w="1808"/>
        <w:gridCol w:w="1320"/>
        <w:gridCol w:w="1314"/>
        <w:gridCol w:w="1523"/>
        <w:gridCol w:w="1009"/>
        <w:gridCol w:w="1007"/>
        <w:gridCol w:w="912"/>
        <w:gridCol w:w="1007"/>
        <w:gridCol w:w="1352"/>
      </w:tblGrid>
      <w:tr w:rsidR="00A2502E" w:rsidTr="00A2502E">
        <w:trPr>
          <w:trHeight w:val="1488"/>
        </w:trPr>
        <w:tc>
          <w:tcPr>
            <w:tcW w:w="1406" w:type="dxa"/>
            <w:vMerge w:val="restart"/>
            <w:tcBorders>
              <w:top w:val="single" w:sz="4" w:space="0" w:color="000000"/>
              <w:left w:val="single" w:sz="4" w:space="0" w:color="000000"/>
              <w:bottom w:val="single" w:sz="4" w:space="0" w:color="000000"/>
              <w:right w:val="single" w:sz="4" w:space="0" w:color="000000"/>
            </w:tcBorders>
          </w:tcPr>
          <w:p w:rsidR="00A2502E" w:rsidRDefault="00EB3742" w:rsidP="00DB588E">
            <w:pPr>
              <w:spacing w:after="946" w:line="239" w:lineRule="auto"/>
              <w:ind w:left="0" w:firstLine="0"/>
              <w:jc w:val="center"/>
            </w:pPr>
            <w:r>
              <w:rPr>
                <w:b/>
                <w:sz w:val="20"/>
              </w:rPr>
              <w:t>Country of departure</w:t>
            </w:r>
            <w:r w:rsidR="00A2502E">
              <w:rPr>
                <w:b/>
                <w:sz w:val="20"/>
              </w:rPr>
              <w:t xml:space="preserve"> </w:t>
            </w:r>
          </w:p>
          <w:p w:rsidR="00A2502E" w:rsidRDefault="00A2502E" w:rsidP="00DB588E">
            <w:pPr>
              <w:spacing w:after="0" w:line="259" w:lineRule="auto"/>
              <w:ind w:left="2" w:firstLine="0"/>
            </w:pPr>
            <w:r>
              <w:rPr>
                <w:sz w:val="20"/>
              </w:rPr>
              <w:t xml:space="preserve"> </w:t>
            </w:r>
          </w:p>
        </w:tc>
        <w:tc>
          <w:tcPr>
            <w:tcW w:w="1349" w:type="dxa"/>
            <w:vMerge w:val="restart"/>
            <w:tcBorders>
              <w:top w:val="single" w:sz="4" w:space="0" w:color="000000"/>
              <w:left w:val="single" w:sz="4" w:space="0" w:color="000000"/>
              <w:right w:val="single" w:sz="4" w:space="0" w:color="000000"/>
            </w:tcBorders>
          </w:tcPr>
          <w:p w:rsidR="00A2502E" w:rsidRDefault="00A2502E" w:rsidP="00DB588E">
            <w:pPr>
              <w:spacing w:after="714" w:line="240" w:lineRule="auto"/>
              <w:ind w:left="22" w:hanging="18"/>
              <w:jc w:val="center"/>
              <w:rPr>
                <w:b/>
                <w:sz w:val="20"/>
              </w:rPr>
            </w:pPr>
            <w:r>
              <w:rPr>
                <w:b/>
                <w:sz w:val="20"/>
              </w:rPr>
              <w:t>Country of destination</w:t>
            </w:r>
          </w:p>
        </w:tc>
        <w:tc>
          <w:tcPr>
            <w:tcW w:w="1120" w:type="dxa"/>
            <w:vMerge w:val="restart"/>
            <w:tcBorders>
              <w:top w:val="single" w:sz="4" w:space="0" w:color="000000"/>
              <w:left w:val="single" w:sz="4" w:space="0" w:color="000000"/>
              <w:bottom w:val="single" w:sz="4" w:space="0" w:color="000000"/>
              <w:right w:val="single" w:sz="4" w:space="0" w:color="000000"/>
            </w:tcBorders>
          </w:tcPr>
          <w:p w:rsidR="00A2502E" w:rsidRDefault="00A2502E" w:rsidP="00DB588E">
            <w:pPr>
              <w:spacing w:after="714" w:line="240" w:lineRule="auto"/>
              <w:ind w:left="22" w:hanging="18"/>
              <w:jc w:val="center"/>
            </w:pPr>
            <w:r>
              <w:rPr>
                <w:b/>
                <w:sz w:val="20"/>
              </w:rPr>
              <w:t xml:space="preserve">Maximum travel costs </w:t>
            </w:r>
          </w:p>
          <w:p w:rsidR="00A2502E" w:rsidRDefault="00A2502E" w:rsidP="00DB588E">
            <w:pPr>
              <w:spacing w:after="0" w:line="259" w:lineRule="auto"/>
              <w:ind w:left="0" w:firstLine="0"/>
            </w:pPr>
            <w:r>
              <w:rPr>
                <w:sz w:val="20"/>
              </w:rPr>
              <w:t xml:space="preserve"> </w:t>
            </w:r>
          </w:p>
        </w:tc>
        <w:tc>
          <w:tcPr>
            <w:tcW w:w="1808" w:type="dxa"/>
            <w:vMerge w:val="restart"/>
            <w:tcBorders>
              <w:top w:val="single" w:sz="4" w:space="0" w:color="000000"/>
              <w:left w:val="single" w:sz="4" w:space="0" w:color="000000"/>
              <w:bottom w:val="single" w:sz="4" w:space="0" w:color="000000"/>
              <w:right w:val="single" w:sz="4" w:space="0" w:color="000000"/>
            </w:tcBorders>
          </w:tcPr>
          <w:p w:rsidR="00A2502E" w:rsidRDefault="00A2502E" w:rsidP="00DB588E">
            <w:pPr>
              <w:spacing w:after="3" w:line="239" w:lineRule="auto"/>
              <w:ind w:left="0" w:firstLine="0"/>
              <w:jc w:val="center"/>
            </w:pPr>
            <w:r>
              <w:rPr>
                <w:b/>
                <w:sz w:val="20"/>
              </w:rPr>
              <w:t xml:space="preserve">Accommodation and </w:t>
            </w:r>
          </w:p>
          <w:p w:rsidR="00A2502E" w:rsidRDefault="00A2502E" w:rsidP="00DB588E">
            <w:pPr>
              <w:spacing w:after="103" w:line="259" w:lineRule="auto"/>
              <w:ind w:left="0" w:right="41" w:firstLine="0"/>
              <w:jc w:val="center"/>
            </w:pPr>
            <w:r>
              <w:rPr>
                <w:b/>
                <w:sz w:val="20"/>
              </w:rPr>
              <w:t xml:space="preserve">Subsistence* </w:t>
            </w:r>
          </w:p>
          <w:p w:rsidR="00A2502E" w:rsidRDefault="00A2502E" w:rsidP="00DB588E">
            <w:pPr>
              <w:spacing w:after="345" w:line="259" w:lineRule="auto"/>
              <w:ind w:left="0" w:right="39" w:firstLine="0"/>
              <w:jc w:val="center"/>
            </w:pPr>
            <w:r>
              <w:rPr>
                <w:b/>
                <w:sz w:val="20"/>
              </w:rPr>
              <w:t xml:space="preserve">(per month) </w:t>
            </w:r>
          </w:p>
          <w:p w:rsidR="00A2502E" w:rsidRDefault="00A2502E" w:rsidP="00DB588E">
            <w:pPr>
              <w:spacing w:after="0" w:line="259" w:lineRule="auto"/>
              <w:ind w:left="0" w:firstLine="0"/>
            </w:pPr>
            <w:r>
              <w:rPr>
                <w:sz w:val="20"/>
              </w:rPr>
              <w:t xml:space="preserve"> </w:t>
            </w:r>
          </w:p>
        </w:tc>
        <w:tc>
          <w:tcPr>
            <w:tcW w:w="1320" w:type="dxa"/>
            <w:vMerge w:val="restart"/>
            <w:tcBorders>
              <w:top w:val="single" w:sz="4" w:space="0" w:color="000000"/>
              <w:left w:val="single" w:sz="4" w:space="0" w:color="000000"/>
              <w:bottom w:val="single" w:sz="4" w:space="0" w:color="000000"/>
              <w:right w:val="single" w:sz="4" w:space="0" w:color="000000"/>
            </w:tcBorders>
          </w:tcPr>
          <w:p w:rsidR="00A2502E" w:rsidRDefault="00A2502E" w:rsidP="00DB588E">
            <w:pPr>
              <w:spacing w:after="0" w:line="259" w:lineRule="auto"/>
              <w:ind w:left="0" w:right="35" w:firstLine="0"/>
              <w:jc w:val="center"/>
            </w:pPr>
            <w:r>
              <w:rPr>
                <w:b/>
                <w:sz w:val="20"/>
              </w:rPr>
              <w:t xml:space="preserve">Maximum </w:t>
            </w:r>
          </w:p>
          <w:p w:rsidR="00A2502E" w:rsidRDefault="00A2502E" w:rsidP="00DB588E">
            <w:pPr>
              <w:spacing w:after="927" w:line="259" w:lineRule="auto"/>
              <w:ind w:left="0" w:right="39" w:firstLine="0"/>
              <w:jc w:val="center"/>
            </w:pPr>
            <w:r>
              <w:rPr>
                <w:b/>
                <w:sz w:val="20"/>
              </w:rPr>
              <w:t xml:space="preserve">Visa costs </w:t>
            </w:r>
          </w:p>
          <w:p w:rsidR="00A2502E" w:rsidRDefault="00A2502E" w:rsidP="00DB588E">
            <w:pPr>
              <w:spacing w:after="0" w:line="259" w:lineRule="auto"/>
              <w:ind w:left="2" w:firstLine="0"/>
            </w:pPr>
            <w:r>
              <w:rPr>
                <w:sz w:val="20"/>
              </w:rPr>
              <w:t xml:space="preserve"> </w:t>
            </w:r>
          </w:p>
        </w:tc>
        <w:tc>
          <w:tcPr>
            <w:tcW w:w="1314" w:type="dxa"/>
            <w:vMerge w:val="restart"/>
            <w:tcBorders>
              <w:top w:val="single" w:sz="4" w:space="0" w:color="000000"/>
              <w:left w:val="single" w:sz="4" w:space="0" w:color="000000"/>
              <w:bottom w:val="single" w:sz="4" w:space="0" w:color="000000"/>
              <w:right w:val="single" w:sz="4" w:space="0" w:color="000000"/>
            </w:tcBorders>
          </w:tcPr>
          <w:p w:rsidR="00A2502E" w:rsidRDefault="00A2502E" w:rsidP="00DB588E">
            <w:pPr>
              <w:spacing w:after="3" w:line="239" w:lineRule="auto"/>
              <w:ind w:left="0" w:firstLine="0"/>
              <w:jc w:val="center"/>
            </w:pPr>
            <w:r>
              <w:rPr>
                <w:b/>
                <w:sz w:val="20"/>
              </w:rPr>
              <w:t xml:space="preserve">Maximum travel </w:t>
            </w:r>
          </w:p>
          <w:p w:rsidR="00A2502E" w:rsidRDefault="00A2502E" w:rsidP="00DB588E">
            <w:pPr>
              <w:spacing w:after="120" w:line="241" w:lineRule="auto"/>
              <w:ind w:left="0" w:firstLine="0"/>
              <w:jc w:val="center"/>
            </w:pPr>
            <w:r>
              <w:rPr>
                <w:b/>
                <w:sz w:val="20"/>
              </w:rPr>
              <w:t xml:space="preserve">insurance costs </w:t>
            </w:r>
          </w:p>
          <w:p w:rsidR="00A2502E" w:rsidRDefault="00A2502E" w:rsidP="00DB588E">
            <w:pPr>
              <w:spacing w:after="115" w:line="259" w:lineRule="auto"/>
              <w:ind w:left="17" w:firstLine="0"/>
            </w:pPr>
            <w:r>
              <w:rPr>
                <w:b/>
                <w:sz w:val="20"/>
              </w:rPr>
              <w:t xml:space="preserve">per month </w:t>
            </w:r>
            <w:r w:rsidR="005F7D3B">
              <w:rPr>
                <w:b/>
                <w:sz w:val="20"/>
              </w:rPr>
              <w:t xml:space="preserve"> </w:t>
            </w:r>
          </w:p>
          <w:p w:rsidR="00A2502E" w:rsidRDefault="00A2502E" w:rsidP="00DB588E">
            <w:pPr>
              <w:spacing w:after="0" w:line="259" w:lineRule="auto"/>
              <w:ind w:left="0" w:firstLine="0"/>
            </w:pPr>
            <w:r>
              <w:rPr>
                <w:sz w:val="20"/>
              </w:rPr>
              <w:t xml:space="preserve"> </w:t>
            </w:r>
          </w:p>
        </w:tc>
        <w:tc>
          <w:tcPr>
            <w:tcW w:w="1523" w:type="dxa"/>
            <w:vMerge w:val="restart"/>
            <w:tcBorders>
              <w:top w:val="single" w:sz="4" w:space="0" w:color="000000"/>
              <w:left w:val="single" w:sz="4" w:space="0" w:color="000000"/>
              <w:bottom w:val="single" w:sz="4" w:space="0" w:color="000000"/>
              <w:right w:val="single" w:sz="4" w:space="0" w:color="000000"/>
            </w:tcBorders>
          </w:tcPr>
          <w:p w:rsidR="00A2502E" w:rsidRDefault="00A2502E" w:rsidP="00DB588E">
            <w:pPr>
              <w:spacing w:after="946" w:line="239" w:lineRule="auto"/>
              <w:ind w:left="0" w:firstLine="0"/>
              <w:jc w:val="center"/>
            </w:pPr>
            <w:r>
              <w:rPr>
                <w:b/>
                <w:sz w:val="20"/>
              </w:rPr>
              <w:t xml:space="preserve">Maximum consumables </w:t>
            </w:r>
          </w:p>
          <w:p w:rsidR="00A2502E" w:rsidRDefault="00A2502E" w:rsidP="00DB588E">
            <w:pPr>
              <w:spacing w:after="0" w:line="259" w:lineRule="auto"/>
              <w:ind w:left="2" w:firstLine="0"/>
            </w:pPr>
            <w:r>
              <w:rPr>
                <w:sz w:val="20"/>
              </w:rPr>
              <w:t xml:space="preserve"> </w:t>
            </w:r>
          </w:p>
        </w:tc>
        <w:tc>
          <w:tcPr>
            <w:tcW w:w="1009" w:type="dxa"/>
            <w:tcBorders>
              <w:top w:val="single" w:sz="4" w:space="0" w:color="000000"/>
              <w:left w:val="single" w:sz="4" w:space="0" w:color="000000"/>
              <w:bottom w:val="single" w:sz="4" w:space="0" w:color="000000"/>
              <w:right w:val="nil"/>
            </w:tcBorders>
          </w:tcPr>
          <w:p w:rsidR="00A2502E" w:rsidRDefault="00A2502E" w:rsidP="00DB588E">
            <w:pPr>
              <w:spacing w:after="160" w:line="259" w:lineRule="auto"/>
              <w:ind w:left="0" w:firstLine="0"/>
            </w:pPr>
          </w:p>
        </w:tc>
        <w:tc>
          <w:tcPr>
            <w:tcW w:w="2926" w:type="dxa"/>
            <w:gridSpan w:val="3"/>
            <w:tcBorders>
              <w:top w:val="single" w:sz="4" w:space="0" w:color="000000"/>
              <w:left w:val="nil"/>
              <w:bottom w:val="single" w:sz="4" w:space="0" w:color="000000"/>
              <w:right w:val="nil"/>
            </w:tcBorders>
          </w:tcPr>
          <w:p w:rsidR="00A2502E" w:rsidRDefault="00A2502E" w:rsidP="00DB588E">
            <w:pPr>
              <w:spacing w:after="0" w:line="259" w:lineRule="auto"/>
              <w:ind w:left="0" w:right="39" w:firstLine="0"/>
              <w:jc w:val="center"/>
            </w:pPr>
            <w:r>
              <w:rPr>
                <w:b/>
                <w:sz w:val="20"/>
              </w:rPr>
              <w:t xml:space="preserve">Maximum Total cost </w:t>
            </w:r>
          </w:p>
        </w:tc>
        <w:tc>
          <w:tcPr>
            <w:tcW w:w="1352" w:type="dxa"/>
            <w:tcBorders>
              <w:top w:val="single" w:sz="4" w:space="0" w:color="000000"/>
              <w:left w:val="nil"/>
              <w:bottom w:val="single" w:sz="4" w:space="0" w:color="000000"/>
              <w:right w:val="single" w:sz="4" w:space="0" w:color="000000"/>
            </w:tcBorders>
          </w:tcPr>
          <w:p w:rsidR="00A2502E" w:rsidRDefault="00A2502E" w:rsidP="00DB588E">
            <w:pPr>
              <w:spacing w:after="160" w:line="259" w:lineRule="auto"/>
              <w:ind w:left="0" w:firstLine="0"/>
            </w:pPr>
          </w:p>
        </w:tc>
      </w:tr>
      <w:tr w:rsidR="00A2502E" w:rsidTr="00AC05E1">
        <w:trPr>
          <w:trHeight w:val="590"/>
        </w:trPr>
        <w:tc>
          <w:tcPr>
            <w:tcW w:w="0" w:type="auto"/>
            <w:vMerge/>
            <w:tcBorders>
              <w:top w:val="nil"/>
              <w:left w:val="single" w:sz="4" w:space="0" w:color="000000"/>
              <w:bottom w:val="single" w:sz="4" w:space="0" w:color="000000"/>
              <w:right w:val="single" w:sz="4" w:space="0" w:color="000000"/>
            </w:tcBorders>
          </w:tcPr>
          <w:p w:rsidR="00A2502E" w:rsidRDefault="00A2502E" w:rsidP="00DB588E">
            <w:pPr>
              <w:spacing w:after="160" w:line="259" w:lineRule="auto"/>
              <w:ind w:left="0" w:firstLine="0"/>
            </w:pPr>
          </w:p>
        </w:tc>
        <w:tc>
          <w:tcPr>
            <w:tcW w:w="1349" w:type="dxa"/>
            <w:vMerge/>
            <w:tcBorders>
              <w:left w:val="single" w:sz="4" w:space="0" w:color="000000"/>
              <w:bottom w:val="single" w:sz="4" w:space="0" w:color="000000"/>
              <w:right w:val="single" w:sz="4" w:space="0" w:color="000000"/>
            </w:tcBorders>
          </w:tcPr>
          <w:p w:rsidR="00A2502E" w:rsidRDefault="00A2502E" w:rsidP="00DB588E">
            <w:pPr>
              <w:spacing w:after="160" w:line="259" w:lineRule="auto"/>
              <w:ind w:left="0" w:firstLine="0"/>
            </w:pPr>
          </w:p>
        </w:tc>
        <w:tc>
          <w:tcPr>
            <w:tcW w:w="1120" w:type="dxa"/>
            <w:vMerge/>
            <w:tcBorders>
              <w:top w:val="nil"/>
              <w:left w:val="single" w:sz="4" w:space="0" w:color="000000"/>
              <w:bottom w:val="single" w:sz="4" w:space="0" w:color="000000"/>
              <w:right w:val="single" w:sz="4" w:space="0" w:color="000000"/>
            </w:tcBorders>
          </w:tcPr>
          <w:p w:rsidR="00A2502E" w:rsidRDefault="00A2502E" w:rsidP="00DB588E">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2502E" w:rsidRDefault="00A2502E" w:rsidP="00DB588E">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2502E" w:rsidRDefault="00A2502E" w:rsidP="00DB588E">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2502E" w:rsidRDefault="00A2502E" w:rsidP="00DB588E">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A2502E" w:rsidRDefault="00A2502E" w:rsidP="00DB588E">
            <w:pPr>
              <w:spacing w:after="160" w:line="259" w:lineRule="auto"/>
              <w:ind w:left="0" w:firstLine="0"/>
            </w:pPr>
          </w:p>
        </w:tc>
        <w:tc>
          <w:tcPr>
            <w:tcW w:w="1009" w:type="dxa"/>
            <w:tcBorders>
              <w:top w:val="single" w:sz="4" w:space="0" w:color="000000"/>
              <w:left w:val="single" w:sz="4" w:space="0" w:color="000000"/>
              <w:bottom w:val="single" w:sz="4" w:space="0" w:color="000000"/>
              <w:right w:val="single" w:sz="4" w:space="0" w:color="000000"/>
            </w:tcBorders>
          </w:tcPr>
          <w:p w:rsidR="00A2502E" w:rsidRDefault="00A2502E" w:rsidP="00DB588E">
            <w:pPr>
              <w:spacing w:after="0" w:line="259" w:lineRule="auto"/>
              <w:ind w:left="2" w:firstLine="0"/>
            </w:pPr>
            <w:r>
              <w:rPr>
                <w:sz w:val="20"/>
              </w:rPr>
              <w:t xml:space="preserve">2-month </w:t>
            </w:r>
          </w:p>
          <w:p w:rsidR="00A2502E" w:rsidRDefault="00A2502E" w:rsidP="00DB588E">
            <w:pPr>
              <w:spacing w:after="0" w:line="259" w:lineRule="auto"/>
              <w:ind w:left="2" w:firstLine="0"/>
            </w:pPr>
            <w:r>
              <w:rPr>
                <w:sz w:val="20"/>
              </w:rPr>
              <w:t xml:space="preserve">visit </w:t>
            </w:r>
          </w:p>
        </w:tc>
        <w:tc>
          <w:tcPr>
            <w:tcW w:w="1007" w:type="dxa"/>
            <w:tcBorders>
              <w:top w:val="single" w:sz="4" w:space="0" w:color="000000"/>
              <w:left w:val="single" w:sz="4" w:space="0" w:color="000000"/>
              <w:bottom w:val="single" w:sz="4" w:space="0" w:color="000000"/>
              <w:right w:val="single" w:sz="4" w:space="0" w:color="000000"/>
            </w:tcBorders>
          </w:tcPr>
          <w:p w:rsidR="00A2502E" w:rsidRDefault="00A2502E" w:rsidP="00DB588E">
            <w:pPr>
              <w:spacing w:after="0" w:line="259" w:lineRule="auto"/>
              <w:ind w:left="0" w:firstLine="0"/>
            </w:pPr>
            <w:r>
              <w:rPr>
                <w:sz w:val="20"/>
              </w:rPr>
              <w:t xml:space="preserve">3-month </w:t>
            </w:r>
          </w:p>
          <w:p w:rsidR="00A2502E" w:rsidRDefault="00A2502E" w:rsidP="00DB588E">
            <w:pPr>
              <w:spacing w:after="0" w:line="259" w:lineRule="auto"/>
              <w:ind w:left="0" w:firstLine="0"/>
            </w:pPr>
            <w:r>
              <w:rPr>
                <w:sz w:val="20"/>
              </w:rPr>
              <w:t xml:space="preserve">visit </w:t>
            </w:r>
          </w:p>
        </w:tc>
        <w:tc>
          <w:tcPr>
            <w:tcW w:w="912" w:type="dxa"/>
            <w:tcBorders>
              <w:top w:val="single" w:sz="4" w:space="0" w:color="000000"/>
              <w:left w:val="single" w:sz="4" w:space="0" w:color="000000"/>
              <w:bottom w:val="single" w:sz="4" w:space="0" w:color="000000"/>
              <w:right w:val="single" w:sz="4" w:space="0" w:color="000000"/>
            </w:tcBorders>
          </w:tcPr>
          <w:p w:rsidR="00A2502E" w:rsidRDefault="00A2502E" w:rsidP="00DB588E">
            <w:pPr>
              <w:spacing w:after="0" w:line="259" w:lineRule="auto"/>
              <w:ind w:left="2" w:firstLine="0"/>
            </w:pPr>
            <w:r>
              <w:rPr>
                <w:sz w:val="20"/>
              </w:rPr>
              <w:t xml:space="preserve">4-month </w:t>
            </w:r>
          </w:p>
          <w:p w:rsidR="00A2502E" w:rsidRDefault="00A2502E" w:rsidP="00DB588E">
            <w:pPr>
              <w:spacing w:after="0" w:line="259" w:lineRule="auto"/>
              <w:ind w:left="2" w:firstLine="0"/>
            </w:pPr>
            <w:r>
              <w:rPr>
                <w:sz w:val="20"/>
              </w:rPr>
              <w:t xml:space="preserve">visit </w:t>
            </w:r>
          </w:p>
        </w:tc>
        <w:tc>
          <w:tcPr>
            <w:tcW w:w="1007" w:type="dxa"/>
            <w:tcBorders>
              <w:top w:val="single" w:sz="4" w:space="0" w:color="000000"/>
              <w:left w:val="single" w:sz="4" w:space="0" w:color="000000"/>
              <w:bottom w:val="single" w:sz="4" w:space="0" w:color="000000"/>
              <w:right w:val="single" w:sz="4" w:space="0" w:color="000000"/>
            </w:tcBorders>
          </w:tcPr>
          <w:p w:rsidR="00A2502E" w:rsidRDefault="00A2502E" w:rsidP="00DB588E">
            <w:pPr>
              <w:spacing w:after="0" w:line="259" w:lineRule="auto"/>
              <w:ind w:left="0" w:firstLine="0"/>
            </w:pPr>
            <w:r>
              <w:rPr>
                <w:sz w:val="20"/>
              </w:rPr>
              <w:t xml:space="preserve">5-month </w:t>
            </w:r>
          </w:p>
          <w:p w:rsidR="00A2502E" w:rsidRDefault="00A2502E" w:rsidP="00DB588E">
            <w:pPr>
              <w:spacing w:after="0" w:line="259" w:lineRule="auto"/>
              <w:ind w:left="0" w:firstLine="0"/>
            </w:pPr>
            <w:r>
              <w:rPr>
                <w:sz w:val="20"/>
              </w:rPr>
              <w:t xml:space="preserve">visit </w:t>
            </w:r>
          </w:p>
        </w:tc>
        <w:tc>
          <w:tcPr>
            <w:tcW w:w="1352" w:type="dxa"/>
            <w:tcBorders>
              <w:top w:val="single" w:sz="4" w:space="0" w:color="000000"/>
              <w:left w:val="single" w:sz="4" w:space="0" w:color="000000"/>
              <w:bottom w:val="single" w:sz="4" w:space="0" w:color="000000"/>
              <w:right w:val="single" w:sz="4" w:space="0" w:color="000000"/>
            </w:tcBorders>
          </w:tcPr>
          <w:p w:rsidR="00A2502E" w:rsidRDefault="00A2502E" w:rsidP="00DB588E">
            <w:pPr>
              <w:spacing w:after="0" w:line="259" w:lineRule="auto"/>
              <w:ind w:left="2" w:firstLine="0"/>
            </w:pPr>
            <w:r>
              <w:rPr>
                <w:sz w:val="20"/>
              </w:rPr>
              <w:t xml:space="preserve">6-month </w:t>
            </w:r>
          </w:p>
          <w:p w:rsidR="00A2502E" w:rsidRDefault="00A2502E" w:rsidP="00DB588E">
            <w:pPr>
              <w:spacing w:after="0" w:line="259" w:lineRule="auto"/>
              <w:ind w:left="2" w:firstLine="0"/>
            </w:pPr>
            <w:r>
              <w:rPr>
                <w:sz w:val="20"/>
              </w:rPr>
              <w:t xml:space="preserve">visit </w:t>
            </w:r>
          </w:p>
        </w:tc>
      </w:tr>
      <w:tr w:rsidR="00686000" w:rsidRPr="00D16545" w:rsidTr="00AC05E1">
        <w:trPr>
          <w:trHeight w:val="385"/>
        </w:trPr>
        <w:tc>
          <w:tcPr>
            <w:tcW w:w="1406" w:type="dxa"/>
            <w:tcBorders>
              <w:top w:val="single" w:sz="4" w:space="0" w:color="000000"/>
              <w:left w:val="single" w:sz="4" w:space="0" w:color="000000"/>
              <w:bottom w:val="single" w:sz="4" w:space="0" w:color="000000"/>
              <w:right w:val="single" w:sz="4" w:space="0" w:color="000000"/>
            </w:tcBorders>
          </w:tcPr>
          <w:p w:rsidR="00686000" w:rsidRPr="004E3582" w:rsidRDefault="00686000" w:rsidP="00DB588E">
            <w:pPr>
              <w:spacing w:after="0" w:line="259" w:lineRule="auto"/>
              <w:ind w:left="2" w:firstLine="0"/>
            </w:pPr>
            <w:r w:rsidRPr="004E3582">
              <w:t>Vietnam</w:t>
            </w:r>
          </w:p>
        </w:tc>
        <w:tc>
          <w:tcPr>
            <w:tcW w:w="1349" w:type="dxa"/>
            <w:tcBorders>
              <w:top w:val="single" w:sz="4" w:space="0" w:color="000000"/>
              <w:left w:val="single" w:sz="4" w:space="0" w:color="000000"/>
              <w:bottom w:val="single" w:sz="4" w:space="0" w:color="000000"/>
              <w:right w:val="single" w:sz="4" w:space="0" w:color="000000"/>
            </w:tcBorders>
          </w:tcPr>
          <w:p w:rsidR="00686000" w:rsidRPr="004E3582" w:rsidRDefault="00686000" w:rsidP="00DB588E">
            <w:pPr>
              <w:spacing w:after="0" w:line="259" w:lineRule="auto"/>
              <w:ind w:left="2" w:firstLine="0"/>
            </w:pPr>
            <w:r>
              <w:t>United Kingdom</w:t>
            </w:r>
          </w:p>
        </w:tc>
        <w:tc>
          <w:tcPr>
            <w:tcW w:w="1120" w:type="dxa"/>
            <w:tcBorders>
              <w:top w:val="single" w:sz="4" w:space="0" w:color="000000"/>
              <w:left w:val="single" w:sz="4" w:space="0" w:color="000000"/>
              <w:bottom w:val="single" w:sz="4" w:space="0" w:color="000000"/>
              <w:right w:val="single" w:sz="4" w:space="0" w:color="000000"/>
            </w:tcBorders>
          </w:tcPr>
          <w:p w:rsidR="00686000" w:rsidRPr="00AC05E1" w:rsidRDefault="00686000" w:rsidP="00DB588E">
            <w:pPr>
              <w:spacing w:after="0" w:line="259" w:lineRule="auto"/>
              <w:ind w:left="0" w:firstLine="0"/>
            </w:pPr>
            <w:r>
              <w:t>£2,000</w:t>
            </w:r>
          </w:p>
        </w:tc>
        <w:tc>
          <w:tcPr>
            <w:tcW w:w="1808" w:type="dxa"/>
            <w:tcBorders>
              <w:top w:val="single" w:sz="4" w:space="0" w:color="000000"/>
              <w:left w:val="single" w:sz="4" w:space="0" w:color="000000"/>
              <w:bottom w:val="single" w:sz="4" w:space="0" w:color="000000"/>
              <w:right w:val="single" w:sz="4" w:space="0" w:color="000000"/>
            </w:tcBorders>
          </w:tcPr>
          <w:p w:rsidR="00686000" w:rsidRPr="00AC05E1" w:rsidRDefault="00686000" w:rsidP="00DB588E">
            <w:pPr>
              <w:spacing w:after="0" w:line="259" w:lineRule="auto"/>
              <w:ind w:left="0" w:firstLine="0"/>
            </w:pPr>
            <w:r w:rsidRPr="00905B81">
              <w:t>£1</w:t>
            </w:r>
            <w:r>
              <w:t>,</w:t>
            </w:r>
            <w:r w:rsidRPr="00905B81">
              <w:t>700</w:t>
            </w:r>
          </w:p>
        </w:tc>
        <w:tc>
          <w:tcPr>
            <w:tcW w:w="1320" w:type="dxa"/>
            <w:tcBorders>
              <w:top w:val="single" w:sz="4" w:space="0" w:color="000000"/>
              <w:left w:val="single" w:sz="4" w:space="0" w:color="000000"/>
              <w:bottom w:val="single" w:sz="4" w:space="0" w:color="000000"/>
              <w:right w:val="single" w:sz="4" w:space="0" w:color="000000"/>
            </w:tcBorders>
          </w:tcPr>
          <w:p w:rsidR="00686000" w:rsidRPr="00AC05E1" w:rsidRDefault="00686000" w:rsidP="00DB588E">
            <w:pPr>
              <w:spacing w:after="0" w:line="259" w:lineRule="auto"/>
              <w:ind w:left="2" w:firstLine="0"/>
            </w:pPr>
            <w:r w:rsidRPr="003F4669">
              <w:t>£150</w:t>
            </w:r>
          </w:p>
        </w:tc>
        <w:tc>
          <w:tcPr>
            <w:tcW w:w="1314" w:type="dxa"/>
            <w:tcBorders>
              <w:top w:val="single" w:sz="4" w:space="0" w:color="000000"/>
              <w:left w:val="single" w:sz="4" w:space="0" w:color="000000"/>
              <w:bottom w:val="single" w:sz="4" w:space="0" w:color="000000"/>
              <w:right w:val="single" w:sz="4" w:space="0" w:color="000000"/>
            </w:tcBorders>
          </w:tcPr>
          <w:p w:rsidR="00686000" w:rsidRPr="00AC05E1" w:rsidRDefault="00686000" w:rsidP="00DB588E">
            <w:pPr>
              <w:spacing w:after="0" w:line="259" w:lineRule="auto"/>
              <w:ind w:left="0" w:firstLine="0"/>
            </w:pPr>
            <w:r w:rsidRPr="003F4669">
              <w:t>£65</w:t>
            </w:r>
          </w:p>
        </w:tc>
        <w:tc>
          <w:tcPr>
            <w:tcW w:w="1523" w:type="dxa"/>
            <w:tcBorders>
              <w:top w:val="single" w:sz="4" w:space="0" w:color="000000"/>
              <w:left w:val="single" w:sz="4" w:space="0" w:color="000000"/>
              <w:bottom w:val="single" w:sz="4" w:space="0" w:color="000000"/>
              <w:right w:val="single" w:sz="4" w:space="0" w:color="000000"/>
            </w:tcBorders>
          </w:tcPr>
          <w:p w:rsidR="00686000" w:rsidRPr="00AC05E1" w:rsidRDefault="00686000" w:rsidP="00DB588E">
            <w:pPr>
              <w:spacing w:after="0" w:line="259" w:lineRule="auto"/>
              <w:ind w:left="2" w:firstLine="0"/>
            </w:pPr>
            <w:r w:rsidRPr="003F4669">
              <w:t>£250</w:t>
            </w:r>
          </w:p>
        </w:tc>
        <w:tc>
          <w:tcPr>
            <w:tcW w:w="1009" w:type="dxa"/>
            <w:tcBorders>
              <w:top w:val="single" w:sz="4" w:space="0" w:color="000000"/>
              <w:left w:val="single" w:sz="4" w:space="0" w:color="000000"/>
              <w:bottom w:val="single" w:sz="4" w:space="0" w:color="000000"/>
              <w:right w:val="single" w:sz="4" w:space="0" w:color="000000"/>
            </w:tcBorders>
          </w:tcPr>
          <w:p w:rsidR="00686000" w:rsidRPr="00AC05E1" w:rsidRDefault="00686000" w:rsidP="00DB588E">
            <w:pPr>
              <w:spacing w:after="0" w:line="259" w:lineRule="auto"/>
              <w:ind w:left="2" w:firstLine="0"/>
            </w:pPr>
            <w:r w:rsidRPr="00CB08FF">
              <w:t>£5,930</w:t>
            </w:r>
          </w:p>
        </w:tc>
        <w:tc>
          <w:tcPr>
            <w:tcW w:w="1007" w:type="dxa"/>
            <w:tcBorders>
              <w:top w:val="single" w:sz="4" w:space="0" w:color="000000"/>
              <w:left w:val="single" w:sz="4" w:space="0" w:color="000000"/>
              <w:bottom w:val="single" w:sz="4" w:space="0" w:color="000000"/>
              <w:right w:val="single" w:sz="4" w:space="0" w:color="000000"/>
            </w:tcBorders>
          </w:tcPr>
          <w:p w:rsidR="00686000" w:rsidRPr="00AC05E1" w:rsidRDefault="00686000" w:rsidP="00DB588E">
            <w:pPr>
              <w:spacing w:after="0" w:line="259" w:lineRule="auto"/>
              <w:ind w:left="0" w:firstLine="0"/>
            </w:pPr>
            <w:r w:rsidRPr="00CB08FF">
              <w:t>£7,695</w:t>
            </w:r>
          </w:p>
        </w:tc>
        <w:tc>
          <w:tcPr>
            <w:tcW w:w="912" w:type="dxa"/>
            <w:tcBorders>
              <w:top w:val="single" w:sz="4" w:space="0" w:color="000000"/>
              <w:left w:val="single" w:sz="4" w:space="0" w:color="000000"/>
              <w:bottom w:val="single" w:sz="4" w:space="0" w:color="000000"/>
              <w:right w:val="single" w:sz="4" w:space="0" w:color="000000"/>
            </w:tcBorders>
          </w:tcPr>
          <w:p w:rsidR="00686000" w:rsidRPr="00AC05E1" w:rsidRDefault="00686000" w:rsidP="00DB588E">
            <w:pPr>
              <w:spacing w:after="0" w:line="259" w:lineRule="auto"/>
              <w:ind w:left="2" w:firstLine="0"/>
            </w:pPr>
            <w:r w:rsidRPr="00CB08FF">
              <w:t>£9,460</w:t>
            </w:r>
          </w:p>
        </w:tc>
        <w:tc>
          <w:tcPr>
            <w:tcW w:w="1007" w:type="dxa"/>
            <w:tcBorders>
              <w:top w:val="single" w:sz="4" w:space="0" w:color="000000"/>
              <w:left w:val="single" w:sz="4" w:space="0" w:color="000000"/>
              <w:bottom w:val="single" w:sz="4" w:space="0" w:color="000000"/>
              <w:right w:val="single" w:sz="4" w:space="0" w:color="000000"/>
            </w:tcBorders>
          </w:tcPr>
          <w:p w:rsidR="00686000" w:rsidRPr="00AC05E1" w:rsidRDefault="00686000" w:rsidP="00DB588E">
            <w:pPr>
              <w:spacing w:after="0" w:line="259" w:lineRule="auto"/>
              <w:ind w:left="0" w:firstLine="0"/>
            </w:pPr>
            <w:r w:rsidRPr="00CB08FF">
              <w:t>£10,525</w:t>
            </w:r>
          </w:p>
        </w:tc>
        <w:tc>
          <w:tcPr>
            <w:tcW w:w="1352" w:type="dxa"/>
            <w:tcBorders>
              <w:top w:val="single" w:sz="4" w:space="0" w:color="000000"/>
              <w:left w:val="single" w:sz="4" w:space="0" w:color="000000"/>
              <w:bottom w:val="single" w:sz="4" w:space="0" w:color="000000"/>
              <w:right w:val="single" w:sz="4" w:space="0" w:color="000000"/>
            </w:tcBorders>
          </w:tcPr>
          <w:p w:rsidR="00686000" w:rsidRPr="00AC05E1" w:rsidRDefault="00686000" w:rsidP="00DB588E">
            <w:pPr>
              <w:spacing w:after="0" w:line="259" w:lineRule="auto"/>
              <w:ind w:left="2" w:firstLine="0"/>
              <w:rPr>
                <w:color w:val="auto"/>
              </w:rPr>
            </w:pPr>
            <w:r w:rsidRPr="00CB08FF">
              <w:t>£10,525</w:t>
            </w:r>
          </w:p>
        </w:tc>
      </w:tr>
    </w:tbl>
    <w:p w:rsidR="00D16545" w:rsidRDefault="00D16545" w:rsidP="00D16545">
      <w:pPr>
        <w:spacing w:after="0" w:line="259" w:lineRule="auto"/>
        <w:ind w:left="0" w:firstLine="0"/>
      </w:pPr>
    </w:p>
    <w:p w:rsidR="00D16545" w:rsidRDefault="00D16545">
      <w:pPr>
        <w:spacing w:after="0" w:line="259" w:lineRule="auto"/>
        <w:ind w:left="0" w:firstLine="0"/>
      </w:pPr>
    </w:p>
    <w:sectPr w:rsidR="00D16545">
      <w:footerReference w:type="even" r:id="rId49"/>
      <w:footerReference w:type="default" r:id="rId50"/>
      <w:footerReference w:type="first" r:id="rId51"/>
      <w:pgSz w:w="16838" w:h="11906" w:orient="landscape"/>
      <w:pgMar w:top="1440" w:right="1145" w:bottom="1440" w:left="8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359" w:rsidRDefault="00513359">
      <w:pPr>
        <w:spacing w:after="0" w:line="240" w:lineRule="auto"/>
      </w:pPr>
      <w:r>
        <w:separator/>
      </w:r>
    </w:p>
  </w:endnote>
  <w:endnote w:type="continuationSeparator" w:id="0">
    <w:p w:rsidR="00513359" w:rsidRDefault="0051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0"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513359" w:rsidRDefault="00513359">
    <w:pPr>
      <w:spacing w:after="0" w:line="259" w:lineRule="auto"/>
      <w:ind w:left="0" w:firstLine="0"/>
    </w:pPr>
    <w:r>
      <w:rPr>
        <w:sz w:val="2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160" w:line="259" w:lineRule="auto"/>
      <w:ind w:left="0" w:firstLine="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160" w:line="259" w:lineRule="auto"/>
      <w:ind w:left="0" w:firstLine="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0" w:line="259" w:lineRule="auto"/>
      <w:ind w:left="0" w:firstLine="0"/>
      <w:jc w:val="right"/>
    </w:pPr>
    <w:r>
      <w:fldChar w:fldCharType="begin"/>
    </w:r>
    <w:r>
      <w:instrText xml:space="preserve"> PAGE   \* MERGEFORMAT </w:instrText>
    </w:r>
    <w:r>
      <w:fldChar w:fldCharType="separate"/>
    </w:r>
    <w:r w:rsidR="003C1241" w:rsidRPr="003C1241">
      <w:rPr>
        <w:noProof/>
        <w:sz w:val="20"/>
      </w:rPr>
      <w:t>7</w:t>
    </w:r>
    <w:r>
      <w:rPr>
        <w:sz w:val="20"/>
      </w:rPr>
      <w:fldChar w:fldCharType="end"/>
    </w:r>
    <w:r>
      <w:rPr>
        <w:sz w:val="20"/>
      </w:rPr>
      <w:t xml:space="preserve"> </w:t>
    </w:r>
  </w:p>
  <w:p w:rsidR="00513359" w:rsidRDefault="00513359">
    <w:pPr>
      <w:spacing w:after="0" w:line="259" w:lineRule="auto"/>
      <w:ind w:left="0" w:firstLine="0"/>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3C1241">
    <w:pPr>
      <w:spacing w:after="160" w:line="259" w:lineRule="auto"/>
      <w:ind w:left="0" w:firstLine="0"/>
    </w:pPr>
    <w:r>
      <w:rPr>
        <w:sz w:val="23"/>
        <w:szCs w:val="23"/>
        <w:lang w:val="en"/>
      </w:rPr>
      <w:t xml:space="preserve">RL </w:t>
    </w:r>
    <w:r>
      <w:rPr>
        <w:sz w:val="23"/>
        <w:szCs w:val="23"/>
        <w:lang w:val="en"/>
      </w:rPr>
      <w:t>Travel Grants</w:t>
    </w:r>
    <w:r>
      <w:rPr>
        <w:sz w:val="23"/>
        <w:szCs w:val="23"/>
        <w:lang w:val="en"/>
      </w:rPr>
      <w:t xml:space="preserve"> A</w:t>
    </w:r>
    <w:r>
      <w:rPr>
        <w:sz w:val="23"/>
        <w:szCs w:val="23"/>
        <w:lang w:val="en"/>
      </w:rPr>
      <w:t>p</w:t>
    </w:r>
    <w:r>
      <w:rPr>
        <w:sz w:val="23"/>
        <w:szCs w:val="23"/>
        <w:lang w:val="en"/>
      </w:rPr>
      <w:t>ril 2015</w:t>
    </w:r>
    <w:r>
      <w:rPr>
        <w:sz w:val="23"/>
        <w:szCs w:val="23"/>
        <w:lang w:val="en"/>
      </w:rPr>
      <w:t xml:space="preserve"> v1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0" w:line="259" w:lineRule="auto"/>
      <w:ind w:left="0" w:right="-8" w:firstLine="0"/>
      <w:jc w:val="right"/>
    </w:pPr>
    <w:r>
      <w:fldChar w:fldCharType="begin"/>
    </w:r>
    <w:r>
      <w:instrText xml:space="preserve"> PAGE   \* MERGEFORMAT </w:instrText>
    </w:r>
    <w:r>
      <w:fldChar w:fldCharType="separate"/>
    </w:r>
    <w:r>
      <w:rPr>
        <w:sz w:val="20"/>
      </w:rPr>
      <w:t>10</w:t>
    </w:r>
    <w:r>
      <w:rPr>
        <w:sz w:val="20"/>
      </w:rPr>
      <w:fldChar w:fldCharType="end"/>
    </w:r>
    <w:r>
      <w:rPr>
        <w:sz w:val="20"/>
      </w:rPr>
      <w:t xml:space="preserve"> </w:t>
    </w:r>
  </w:p>
  <w:p w:rsidR="00513359" w:rsidRDefault="00513359">
    <w:pPr>
      <w:spacing w:after="0" w:line="259" w:lineRule="auto"/>
      <w:ind w:left="0" w:firstLine="0"/>
    </w:pP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0" w:line="259" w:lineRule="auto"/>
      <w:ind w:left="0" w:right="-8" w:firstLine="0"/>
      <w:jc w:val="right"/>
    </w:pPr>
    <w:r>
      <w:fldChar w:fldCharType="begin"/>
    </w:r>
    <w:r>
      <w:instrText xml:space="preserve"> PAGE   \* MERGEFORMAT </w:instrText>
    </w:r>
    <w:r>
      <w:fldChar w:fldCharType="separate"/>
    </w:r>
    <w:r w:rsidRPr="00513359">
      <w:rPr>
        <w:noProof/>
        <w:sz w:val="20"/>
      </w:rPr>
      <w:t>8</w:t>
    </w:r>
    <w:r>
      <w:rPr>
        <w:sz w:val="20"/>
      </w:rPr>
      <w:fldChar w:fldCharType="end"/>
    </w:r>
    <w:r>
      <w:rPr>
        <w:sz w:val="20"/>
      </w:rPr>
      <w:t xml:space="preserve"> </w:t>
    </w:r>
  </w:p>
  <w:p w:rsidR="00513359" w:rsidRDefault="00513359">
    <w:pPr>
      <w:spacing w:after="0" w:line="259" w:lineRule="auto"/>
      <w:ind w:left="0" w:firstLine="0"/>
    </w:pPr>
    <w:r>
      <w:rPr>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160" w:line="259" w:lineRule="auto"/>
      <w:ind w:left="0" w:firstLine="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0" w:line="259" w:lineRule="auto"/>
      <w:ind w:left="0" w:right="-26"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513359" w:rsidRDefault="00513359">
    <w:pPr>
      <w:spacing w:after="0" w:line="259" w:lineRule="auto"/>
      <w:ind w:left="0" w:firstLine="0"/>
    </w:pPr>
    <w:r>
      <w:rPr>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0" w:line="259" w:lineRule="auto"/>
      <w:ind w:left="0" w:right="-26" w:firstLine="0"/>
      <w:jc w:val="right"/>
    </w:pPr>
    <w:r>
      <w:fldChar w:fldCharType="begin"/>
    </w:r>
    <w:r>
      <w:instrText xml:space="preserve"> PAGE   \* MERGEFORMAT </w:instrText>
    </w:r>
    <w:r>
      <w:fldChar w:fldCharType="separate"/>
    </w:r>
    <w:r w:rsidR="003C1241" w:rsidRPr="003C1241">
      <w:rPr>
        <w:noProof/>
        <w:sz w:val="20"/>
      </w:rPr>
      <w:t>11</w:t>
    </w:r>
    <w:r>
      <w:rPr>
        <w:sz w:val="20"/>
      </w:rPr>
      <w:fldChar w:fldCharType="end"/>
    </w:r>
    <w:r>
      <w:rPr>
        <w:sz w:val="20"/>
      </w:rPr>
      <w:t xml:space="preserve"> </w:t>
    </w:r>
  </w:p>
  <w:p w:rsidR="00513359" w:rsidRDefault="00513359">
    <w:pPr>
      <w:spacing w:after="0" w:line="259" w:lineRule="auto"/>
      <w:ind w:left="0" w:firstLine="0"/>
    </w:pPr>
    <w:r>
      <w:rPr>
        <w:sz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359" w:rsidRDefault="00513359">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359" w:rsidRDefault="00513359">
      <w:pPr>
        <w:spacing w:after="0" w:line="216" w:lineRule="auto"/>
        <w:ind w:left="0" w:right="126" w:firstLine="0"/>
      </w:pPr>
      <w:r>
        <w:separator/>
      </w:r>
    </w:p>
  </w:footnote>
  <w:footnote w:type="continuationSeparator" w:id="0">
    <w:p w:rsidR="00513359" w:rsidRDefault="00513359">
      <w:pPr>
        <w:spacing w:after="0" w:line="216" w:lineRule="auto"/>
        <w:ind w:left="0" w:right="126" w:firstLine="0"/>
      </w:pPr>
      <w:r>
        <w:continuationSeparator/>
      </w:r>
    </w:p>
  </w:footnote>
  <w:footnote w:id="1">
    <w:p w:rsidR="00513359" w:rsidRDefault="00513359" w:rsidP="00513359">
      <w:pPr>
        <w:pStyle w:val="footnotedescription"/>
        <w:ind w:right="135"/>
      </w:pPr>
      <w:r>
        <w:rPr>
          <w:rStyle w:val="footnotemark"/>
        </w:rPr>
        <w:footnoteRef/>
      </w:r>
      <w:r>
        <w:t xml:space="preserve">  </w:t>
      </w:r>
      <w:proofErr w:type="gramStart"/>
      <w:r>
        <w:t>If different from those mentioned in section 4.</w:t>
      </w:r>
      <w:proofErr w:type="gramEnd"/>
      <w:r>
        <w:t xml:space="preserve"> Please note that the guidance on relevance of the research to the economic development and social welfare laid out in section 4 still applies even if the thematic priority areas differ for a given participating country.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1C9"/>
    <w:multiLevelType w:val="hybridMultilevel"/>
    <w:tmpl w:val="D960DAAA"/>
    <w:lvl w:ilvl="0" w:tplc="55AE574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34E89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8E7D5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6E099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74087E">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78565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00D204">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AC8A7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46945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5802ACB"/>
    <w:multiLevelType w:val="hybridMultilevel"/>
    <w:tmpl w:val="BCE40902"/>
    <w:lvl w:ilvl="0" w:tplc="1DE4039C">
      <w:numFmt w:val="bullet"/>
      <w:lvlText w:val="-"/>
      <w:lvlJc w:val="left"/>
      <w:pPr>
        <w:ind w:left="1260" w:hanging="360"/>
      </w:pPr>
      <w:rPr>
        <w:rFonts w:ascii="Arial" w:eastAsiaTheme="minorHAnsi"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nsid w:val="0EFC1F57"/>
    <w:multiLevelType w:val="hybridMultilevel"/>
    <w:tmpl w:val="0C1E1CD6"/>
    <w:lvl w:ilvl="0" w:tplc="8ADC86A8">
      <w:start w:val="1"/>
      <w:numFmt w:val="bullet"/>
      <w:lvlText w:val="•"/>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E026FE">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824B86">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C860C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B48A60">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AC9AE6">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EAE914">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D025B0">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960120">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F027A13"/>
    <w:multiLevelType w:val="hybridMultilevel"/>
    <w:tmpl w:val="08A4F55E"/>
    <w:lvl w:ilvl="0" w:tplc="AB24052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B670FE">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0E5EEA">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6A010E">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A2708A">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188C1C">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8E5D92">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DE5E9A">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D2EBC8">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115B79E8"/>
    <w:multiLevelType w:val="hybridMultilevel"/>
    <w:tmpl w:val="256038F0"/>
    <w:lvl w:ilvl="0" w:tplc="AB241E2C">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3F62E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4E674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96F78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FC7EB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6E093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B14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CC59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04F60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41066EF"/>
    <w:multiLevelType w:val="hybridMultilevel"/>
    <w:tmpl w:val="61A8ED8E"/>
    <w:lvl w:ilvl="0" w:tplc="F2486BD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5A6F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56363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483E7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AA6CE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84E67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72B2F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B60D1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A6858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1CEC42B7"/>
    <w:multiLevelType w:val="hybridMultilevel"/>
    <w:tmpl w:val="720E08F6"/>
    <w:lvl w:ilvl="0" w:tplc="334E916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B2036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3BCB560">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FF60D3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04E3BA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49E5A5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760D5E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D10C8E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7720ED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nsid w:val="215B47CA"/>
    <w:multiLevelType w:val="hybridMultilevel"/>
    <w:tmpl w:val="5B984D70"/>
    <w:lvl w:ilvl="0" w:tplc="B4D61A1A">
      <w:start w:val="1"/>
      <w:numFmt w:val="decimal"/>
      <w:pStyle w:val="Heading21"/>
      <w:lvlText w:val="%1."/>
      <w:lvlJc w:val="left"/>
      <w:pPr>
        <w:ind w:left="360" w:hanging="360"/>
      </w:pPr>
      <w:rPr>
        <w:rFonts w:hint="default"/>
      </w:rPr>
    </w:lvl>
    <w:lvl w:ilvl="1" w:tplc="1DE4039C">
      <w:numFmt w:val="bullet"/>
      <w:lvlText w:val="-"/>
      <w:lvlJc w:val="left"/>
      <w:pPr>
        <w:ind w:left="1080" w:hanging="36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4E73187"/>
    <w:multiLevelType w:val="hybridMultilevel"/>
    <w:tmpl w:val="88FEE3D0"/>
    <w:lvl w:ilvl="0" w:tplc="1DE4039C">
      <w:numFmt w:val="bullet"/>
      <w:lvlText w:val="-"/>
      <w:lvlJc w:val="left"/>
      <w:pPr>
        <w:ind w:left="1260" w:hanging="360"/>
      </w:pPr>
      <w:rPr>
        <w:rFonts w:ascii="Arial" w:eastAsiaTheme="minorHAnsi"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
    <w:nsid w:val="3B560F4A"/>
    <w:multiLevelType w:val="hybridMultilevel"/>
    <w:tmpl w:val="84729294"/>
    <w:lvl w:ilvl="0" w:tplc="DF820C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0490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3003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EA31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E22F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6AB3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0EE6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083A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6441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434C07F0"/>
    <w:multiLevelType w:val="hybridMultilevel"/>
    <w:tmpl w:val="60BA3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46797"/>
    <w:multiLevelType w:val="hybridMultilevel"/>
    <w:tmpl w:val="73202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4AA27AD9"/>
    <w:multiLevelType w:val="hybridMultilevel"/>
    <w:tmpl w:val="4C14FAE0"/>
    <w:lvl w:ilvl="0" w:tplc="07F0EB4A">
      <w:start w:val="13"/>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82407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6029B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5A462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7624B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86EA7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4C838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ED34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58D69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5F21447B"/>
    <w:multiLevelType w:val="hybridMultilevel"/>
    <w:tmpl w:val="BDE8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B86271"/>
    <w:multiLevelType w:val="hybridMultilevel"/>
    <w:tmpl w:val="A5A8BD86"/>
    <w:lvl w:ilvl="0" w:tplc="37C04606">
      <w:start w:val="1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B2F3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B8A60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EAF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74CBA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50218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AA1FD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1CEE7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06BC0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73112058"/>
    <w:multiLevelType w:val="hybridMultilevel"/>
    <w:tmpl w:val="A5A8BD86"/>
    <w:lvl w:ilvl="0" w:tplc="37C04606">
      <w:start w:val="1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B2F3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B8A60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EAF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74CBA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50218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AA1FD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1CEE7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06BC0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78D01E7C"/>
    <w:multiLevelType w:val="hybridMultilevel"/>
    <w:tmpl w:val="C1FEB07E"/>
    <w:lvl w:ilvl="0" w:tplc="6038D7F8">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abstractNumId w:val="9"/>
  </w:num>
  <w:num w:numId="2">
    <w:abstractNumId w:val="4"/>
  </w:num>
  <w:num w:numId="3">
    <w:abstractNumId w:val="6"/>
  </w:num>
  <w:num w:numId="4">
    <w:abstractNumId w:val="14"/>
  </w:num>
  <w:num w:numId="5">
    <w:abstractNumId w:val="12"/>
  </w:num>
  <w:num w:numId="6">
    <w:abstractNumId w:val="5"/>
  </w:num>
  <w:num w:numId="7">
    <w:abstractNumId w:val="0"/>
  </w:num>
  <w:num w:numId="8">
    <w:abstractNumId w:val="3"/>
  </w:num>
  <w:num w:numId="9">
    <w:abstractNumId w:val="2"/>
  </w:num>
  <w:num w:numId="10">
    <w:abstractNumId w:val="16"/>
  </w:num>
  <w:num w:numId="11">
    <w:abstractNumId w:val="7"/>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000"/>
    <w:rsid w:val="00025665"/>
    <w:rsid w:val="00031C01"/>
    <w:rsid w:val="00076783"/>
    <w:rsid w:val="000A0F43"/>
    <w:rsid w:val="000B40EF"/>
    <w:rsid w:val="000D4166"/>
    <w:rsid w:val="000F0D3D"/>
    <w:rsid w:val="0013336A"/>
    <w:rsid w:val="0013738F"/>
    <w:rsid w:val="00137B48"/>
    <w:rsid w:val="00143AE0"/>
    <w:rsid w:val="0017239B"/>
    <w:rsid w:val="00174158"/>
    <w:rsid w:val="00175632"/>
    <w:rsid w:val="001A69EF"/>
    <w:rsid w:val="001C3752"/>
    <w:rsid w:val="001F1336"/>
    <w:rsid w:val="001F2646"/>
    <w:rsid w:val="001F483F"/>
    <w:rsid w:val="001F7E59"/>
    <w:rsid w:val="002128FE"/>
    <w:rsid w:val="00243000"/>
    <w:rsid w:val="00250E6F"/>
    <w:rsid w:val="00297F4E"/>
    <w:rsid w:val="002B34FA"/>
    <w:rsid w:val="002B3C10"/>
    <w:rsid w:val="00307D51"/>
    <w:rsid w:val="00313F12"/>
    <w:rsid w:val="003623BC"/>
    <w:rsid w:val="003C1241"/>
    <w:rsid w:val="003F4669"/>
    <w:rsid w:val="003F50D8"/>
    <w:rsid w:val="004009A9"/>
    <w:rsid w:val="00405573"/>
    <w:rsid w:val="004700DA"/>
    <w:rsid w:val="004A43D7"/>
    <w:rsid w:val="004B6633"/>
    <w:rsid w:val="004C1649"/>
    <w:rsid w:val="004D687D"/>
    <w:rsid w:val="004E3582"/>
    <w:rsid w:val="0050144B"/>
    <w:rsid w:val="00513359"/>
    <w:rsid w:val="005355AC"/>
    <w:rsid w:val="005A0458"/>
    <w:rsid w:val="005F3484"/>
    <w:rsid w:val="005F7D3B"/>
    <w:rsid w:val="00614EFC"/>
    <w:rsid w:val="006810D9"/>
    <w:rsid w:val="00681E66"/>
    <w:rsid w:val="00684372"/>
    <w:rsid w:val="00686000"/>
    <w:rsid w:val="006972D9"/>
    <w:rsid w:val="006C304A"/>
    <w:rsid w:val="006C3C70"/>
    <w:rsid w:val="00713FF2"/>
    <w:rsid w:val="00750D0D"/>
    <w:rsid w:val="007B52DB"/>
    <w:rsid w:val="007F4F95"/>
    <w:rsid w:val="00807008"/>
    <w:rsid w:val="00861024"/>
    <w:rsid w:val="0086797E"/>
    <w:rsid w:val="008C1CC0"/>
    <w:rsid w:val="008C3EC7"/>
    <w:rsid w:val="008C4178"/>
    <w:rsid w:val="008C7656"/>
    <w:rsid w:val="00905B81"/>
    <w:rsid w:val="00914937"/>
    <w:rsid w:val="00964F0D"/>
    <w:rsid w:val="009C3E19"/>
    <w:rsid w:val="009D793A"/>
    <w:rsid w:val="009E018F"/>
    <w:rsid w:val="00A14279"/>
    <w:rsid w:val="00A2502E"/>
    <w:rsid w:val="00A93AD6"/>
    <w:rsid w:val="00AC05E1"/>
    <w:rsid w:val="00AD6802"/>
    <w:rsid w:val="00B31BCD"/>
    <w:rsid w:val="00B4447E"/>
    <w:rsid w:val="00B579C6"/>
    <w:rsid w:val="00B63F17"/>
    <w:rsid w:val="00B928F1"/>
    <w:rsid w:val="00BB1955"/>
    <w:rsid w:val="00BD700B"/>
    <w:rsid w:val="00C258EE"/>
    <w:rsid w:val="00C45199"/>
    <w:rsid w:val="00C67A6B"/>
    <w:rsid w:val="00C70943"/>
    <w:rsid w:val="00CC2BED"/>
    <w:rsid w:val="00CF511D"/>
    <w:rsid w:val="00D02101"/>
    <w:rsid w:val="00D11027"/>
    <w:rsid w:val="00D16545"/>
    <w:rsid w:val="00D21115"/>
    <w:rsid w:val="00D24CE2"/>
    <w:rsid w:val="00D348C7"/>
    <w:rsid w:val="00D62EC9"/>
    <w:rsid w:val="00D817C2"/>
    <w:rsid w:val="00DB588E"/>
    <w:rsid w:val="00DB5A95"/>
    <w:rsid w:val="00E30821"/>
    <w:rsid w:val="00EB3742"/>
    <w:rsid w:val="00EF2772"/>
    <w:rsid w:val="00F14DEE"/>
    <w:rsid w:val="00F60C67"/>
    <w:rsid w:val="00FF1847"/>
    <w:rsid w:val="00FF47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3B"/>
    <w:pPr>
      <w:spacing w:after="111"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ind w:right="126"/>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C3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E19"/>
    <w:rPr>
      <w:rFonts w:ascii="Tahoma" w:eastAsia="Arial" w:hAnsi="Tahoma" w:cs="Tahoma"/>
      <w:color w:val="000000"/>
      <w:sz w:val="16"/>
      <w:szCs w:val="16"/>
    </w:rPr>
  </w:style>
  <w:style w:type="paragraph" w:styleId="ListParagraph">
    <w:name w:val="List Paragraph"/>
    <w:basedOn w:val="Normal"/>
    <w:link w:val="ListParagraphChar"/>
    <w:uiPriority w:val="34"/>
    <w:qFormat/>
    <w:rsid w:val="00FF1847"/>
    <w:pPr>
      <w:ind w:left="720"/>
      <w:contextualSpacing/>
    </w:pPr>
  </w:style>
  <w:style w:type="character" w:styleId="Hyperlink">
    <w:name w:val="Hyperlink"/>
    <w:basedOn w:val="DefaultParagraphFont"/>
    <w:uiPriority w:val="99"/>
    <w:semiHidden/>
    <w:rsid w:val="00AD6802"/>
    <w:rPr>
      <w:rFonts w:cs="Times New Roman"/>
      <w:color w:val="0000FF"/>
      <w:u w:val="single"/>
    </w:rPr>
  </w:style>
  <w:style w:type="paragraph" w:customStyle="1" w:styleId="Heading21">
    <w:name w:val="Heading 21"/>
    <w:basedOn w:val="ListParagraph"/>
    <w:link w:val="HEADING2Char"/>
    <w:qFormat/>
    <w:rsid w:val="00AD6802"/>
    <w:pPr>
      <w:widowControl w:val="0"/>
      <w:numPr>
        <w:numId w:val="11"/>
      </w:numPr>
      <w:spacing w:before="360" w:after="120" w:line="240" w:lineRule="auto"/>
      <w:contextualSpacing w:val="0"/>
    </w:pPr>
    <w:rPr>
      <w:rFonts w:eastAsiaTheme="minorHAnsi"/>
      <w:b/>
      <w:color w:val="auto"/>
      <w:szCs w:val="16"/>
      <w:lang w:eastAsia="en-US"/>
    </w:rPr>
  </w:style>
  <w:style w:type="character" w:customStyle="1" w:styleId="HEADING2Char">
    <w:name w:val="HEADING 2 Char"/>
    <w:basedOn w:val="DefaultParagraphFont"/>
    <w:link w:val="Heading21"/>
    <w:rsid w:val="00AD6802"/>
    <w:rPr>
      <w:rFonts w:ascii="Arial" w:eastAsiaTheme="minorHAnsi" w:hAnsi="Arial" w:cs="Arial"/>
      <w:b/>
      <w:szCs w:val="16"/>
      <w:lang w:eastAsia="en-US"/>
    </w:rPr>
  </w:style>
  <w:style w:type="paragraph" w:styleId="NormalWeb">
    <w:name w:val="Normal (Web)"/>
    <w:basedOn w:val="Normal"/>
    <w:uiPriority w:val="99"/>
    <w:semiHidden/>
    <w:unhideWhenUsed/>
    <w:rsid w:val="00B31BCD"/>
    <w:pPr>
      <w:spacing w:after="0" w:line="240" w:lineRule="auto"/>
      <w:ind w:left="0" w:firstLine="0"/>
    </w:pPr>
    <w:rPr>
      <w:rFonts w:ascii="Times New Roman" w:eastAsiaTheme="minorHAnsi" w:hAnsi="Times New Roman" w:cs="Times New Roman"/>
      <w:color w:val="auto"/>
      <w:sz w:val="24"/>
      <w:szCs w:val="24"/>
    </w:rPr>
  </w:style>
  <w:style w:type="paragraph" w:styleId="PlainText">
    <w:name w:val="Plain Text"/>
    <w:basedOn w:val="Normal"/>
    <w:link w:val="PlainTextChar"/>
    <w:uiPriority w:val="99"/>
    <w:semiHidden/>
    <w:unhideWhenUsed/>
    <w:rsid w:val="00B31BCD"/>
    <w:pPr>
      <w:spacing w:after="0" w:line="240" w:lineRule="auto"/>
      <w:ind w:left="0" w:firstLine="0"/>
    </w:pPr>
    <w:rPr>
      <w:rFonts w:ascii="Calibri" w:eastAsiaTheme="minorHAnsi" w:hAnsi="Calibri" w:cs="Consolas"/>
      <w:color w:val="auto"/>
      <w:szCs w:val="21"/>
      <w:lang w:eastAsia="en-US"/>
    </w:rPr>
  </w:style>
  <w:style w:type="character" w:customStyle="1" w:styleId="PlainTextChar">
    <w:name w:val="Plain Text Char"/>
    <w:basedOn w:val="DefaultParagraphFont"/>
    <w:link w:val="PlainText"/>
    <w:uiPriority w:val="99"/>
    <w:semiHidden/>
    <w:rsid w:val="00B31BCD"/>
    <w:rPr>
      <w:rFonts w:ascii="Calibri" w:eastAsiaTheme="minorHAnsi" w:hAnsi="Calibri" w:cs="Consolas"/>
      <w:szCs w:val="21"/>
      <w:lang w:eastAsia="en-US"/>
    </w:rPr>
  </w:style>
  <w:style w:type="character" w:styleId="CommentReference">
    <w:name w:val="annotation reference"/>
    <w:basedOn w:val="DefaultParagraphFont"/>
    <w:uiPriority w:val="99"/>
    <w:semiHidden/>
    <w:unhideWhenUsed/>
    <w:rsid w:val="00A93AD6"/>
    <w:rPr>
      <w:sz w:val="16"/>
      <w:szCs w:val="16"/>
    </w:rPr>
  </w:style>
  <w:style w:type="paragraph" w:styleId="CommentText">
    <w:name w:val="annotation text"/>
    <w:basedOn w:val="Normal"/>
    <w:link w:val="CommentTextChar"/>
    <w:uiPriority w:val="99"/>
    <w:semiHidden/>
    <w:unhideWhenUsed/>
    <w:rsid w:val="00A93AD6"/>
    <w:pPr>
      <w:spacing w:line="240" w:lineRule="auto"/>
    </w:pPr>
    <w:rPr>
      <w:sz w:val="20"/>
      <w:szCs w:val="20"/>
    </w:rPr>
  </w:style>
  <w:style w:type="character" w:customStyle="1" w:styleId="CommentTextChar">
    <w:name w:val="Comment Text Char"/>
    <w:basedOn w:val="DefaultParagraphFont"/>
    <w:link w:val="CommentText"/>
    <w:uiPriority w:val="99"/>
    <w:semiHidden/>
    <w:rsid w:val="00A93AD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93AD6"/>
    <w:rPr>
      <w:b/>
      <w:bCs/>
    </w:rPr>
  </w:style>
  <w:style w:type="character" w:customStyle="1" w:styleId="CommentSubjectChar">
    <w:name w:val="Comment Subject Char"/>
    <w:basedOn w:val="CommentTextChar"/>
    <w:link w:val="CommentSubject"/>
    <w:uiPriority w:val="99"/>
    <w:semiHidden/>
    <w:rsid w:val="00A93AD6"/>
    <w:rPr>
      <w:rFonts w:ascii="Arial" w:eastAsia="Arial" w:hAnsi="Arial" w:cs="Arial"/>
      <w:b/>
      <w:bCs/>
      <w:color w:val="000000"/>
      <w:sz w:val="20"/>
      <w:szCs w:val="20"/>
    </w:rPr>
  </w:style>
  <w:style w:type="character" w:customStyle="1" w:styleId="ListParagraphChar">
    <w:name w:val="List Paragraph Char"/>
    <w:basedOn w:val="DefaultParagraphFont"/>
    <w:link w:val="ListParagraph"/>
    <w:uiPriority w:val="34"/>
    <w:rsid w:val="00513359"/>
    <w:rPr>
      <w:rFonts w:ascii="Arial" w:eastAsia="Arial" w:hAnsi="Arial" w:cs="Arial"/>
      <w:color w:val="000000"/>
    </w:rPr>
  </w:style>
  <w:style w:type="character" w:styleId="FollowedHyperlink">
    <w:name w:val="FollowedHyperlink"/>
    <w:basedOn w:val="DefaultParagraphFont"/>
    <w:uiPriority w:val="99"/>
    <w:semiHidden/>
    <w:unhideWhenUsed/>
    <w:rsid w:val="00EF2772"/>
    <w:rPr>
      <w:color w:val="954F72" w:themeColor="followedHyperlink"/>
      <w:u w:val="single"/>
    </w:rPr>
  </w:style>
  <w:style w:type="paragraph" w:styleId="Header">
    <w:name w:val="header"/>
    <w:basedOn w:val="Normal"/>
    <w:link w:val="HeaderChar"/>
    <w:uiPriority w:val="99"/>
    <w:unhideWhenUsed/>
    <w:rsid w:val="003C1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241"/>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3B"/>
    <w:pPr>
      <w:spacing w:after="111"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ind w:right="126"/>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C3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E19"/>
    <w:rPr>
      <w:rFonts w:ascii="Tahoma" w:eastAsia="Arial" w:hAnsi="Tahoma" w:cs="Tahoma"/>
      <w:color w:val="000000"/>
      <w:sz w:val="16"/>
      <w:szCs w:val="16"/>
    </w:rPr>
  </w:style>
  <w:style w:type="paragraph" w:styleId="ListParagraph">
    <w:name w:val="List Paragraph"/>
    <w:basedOn w:val="Normal"/>
    <w:link w:val="ListParagraphChar"/>
    <w:uiPriority w:val="34"/>
    <w:qFormat/>
    <w:rsid w:val="00FF1847"/>
    <w:pPr>
      <w:ind w:left="720"/>
      <w:contextualSpacing/>
    </w:pPr>
  </w:style>
  <w:style w:type="character" w:styleId="Hyperlink">
    <w:name w:val="Hyperlink"/>
    <w:basedOn w:val="DefaultParagraphFont"/>
    <w:uiPriority w:val="99"/>
    <w:semiHidden/>
    <w:rsid w:val="00AD6802"/>
    <w:rPr>
      <w:rFonts w:cs="Times New Roman"/>
      <w:color w:val="0000FF"/>
      <w:u w:val="single"/>
    </w:rPr>
  </w:style>
  <w:style w:type="paragraph" w:customStyle="1" w:styleId="Heading21">
    <w:name w:val="Heading 21"/>
    <w:basedOn w:val="ListParagraph"/>
    <w:link w:val="HEADING2Char"/>
    <w:qFormat/>
    <w:rsid w:val="00AD6802"/>
    <w:pPr>
      <w:widowControl w:val="0"/>
      <w:numPr>
        <w:numId w:val="11"/>
      </w:numPr>
      <w:spacing w:before="360" w:after="120" w:line="240" w:lineRule="auto"/>
      <w:contextualSpacing w:val="0"/>
    </w:pPr>
    <w:rPr>
      <w:rFonts w:eastAsiaTheme="minorHAnsi"/>
      <w:b/>
      <w:color w:val="auto"/>
      <w:szCs w:val="16"/>
      <w:lang w:eastAsia="en-US"/>
    </w:rPr>
  </w:style>
  <w:style w:type="character" w:customStyle="1" w:styleId="HEADING2Char">
    <w:name w:val="HEADING 2 Char"/>
    <w:basedOn w:val="DefaultParagraphFont"/>
    <w:link w:val="Heading21"/>
    <w:rsid w:val="00AD6802"/>
    <w:rPr>
      <w:rFonts w:ascii="Arial" w:eastAsiaTheme="minorHAnsi" w:hAnsi="Arial" w:cs="Arial"/>
      <w:b/>
      <w:szCs w:val="16"/>
      <w:lang w:eastAsia="en-US"/>
    </w:rPr>
  </w:style>
  <w:style w:type="paragraph" w:styleId="NormalWeb">
    <w:name w:val="Normal (Web)"/>
    <w:basedOn w:val="Normal"/>
    <w:uiPriority w:val="99"/>
    <w:semiHidden/>
    <w:unhideWhenUsed/>
    <w:rsid w:val="00B31BCD"/>
    <w:pPr>
      <w:spacing w:after="0" w:line="240" w:lineRule="auto"/>
      <w:ind w:left="0" w:firstLine="0"/>
    </w:pPr>
    <w:rPr>
      <w:rFonts w:ascii="Times New Roman" w:eastAsiaTheme="minorHAnsi" w:hAnsi="Times New Roman" w:cs="Times New Roman"/>
      <w:color w:val="auto"/>
      <w:sz w:val="24"/>
      <w:szCs w:val="24"/>
    </w:rPr>
  </w:style>
  <w:style w:type="paragraph" w:styleId="PlainText">
    <w:name w:val="Plain Text"/>
    <w:basedOn w:val="Normal"/>
    <w:link w:val="PlainTextChar"/>
    <w:uiPriority w:val="99"/>
    <w:semiHidden/>
    <w:unhideWhenUsed/>
    <w:rsid w:val="00B31BCD"/>
    <w:pPr>
      <w:spacing w:after="0" w:line="240" w:lineRule="auto"/>
      <w:ind w:left="0" w:firstLine="0"/>
    </w:pPr>
    <w:rPr>
      <w:rFonts w:ascii="Calibri" w:eastAsiaTheme="minorHAnsi" w:hAnsi="Calibri" w:cs="Consolas"/>
      <w:color w:val="auto"/>
      <w:szCs w:val="21"/>
      <w:lang w:eastAsia="en-US"/>
    </w:rPr>
  </w:style>
  <w:style w:type="character" w:customStyle="1" w:styleId="PlainTextChar">
    <w:name w:val="Plain Text Char"/>
    <w:basedOn w:val="DefaultParagraphFont"/>
    <w:link w:val="PlainText"/>
    <w:uiPriority w:val="99"/>
    <w:semiHidden/>
    <w:rsid w:val="00B31BCD"/>
    <w:rPr>
      <w:rFonts w:ascii="Calibri" w:eastAsiaTheme="minorHAnsi" w:hAnsi="Calibri" w:cs="Consolas"/>
      <w:szCs w:val="21"/>
      <w:lang w:eastAsia="en-US"/>
    </w:rPr>
  </w:style>
  <w:style w:type="character" w:styleId="CommentReference">
    <w:name w:val="annotation reference"/>
    <w:basedOn w:val="DefaultParagraphFont"/>
    <w:uiPriority w:val="99"/>
    <w:semiHidden/>
    <w:unhideWhenUsed/>
    <w:rsid w:val="00A93AD6"/>
    <w:rPr>
      <w:sz w:val="16"/>
      <w:szCs w:val="16"/>
    </w:rPr>
  </w:style>
  <w:style w:type="paragraph" w:styleId="CommentText">
    <w:name w:val="annotation text"/>
    <w:basedOn w:val="Normal"/>
    <w:link w:val="CommentTextChar"/>
    <w:uiPriority w:val="99"/>
    <w:semiHidden/>
    <w:unhideWhenUsed/>
    <w:rsid w:val="00A93AD6"/>
    <w:pPr>
      <w:spacing w:line="240" w:lineRule="auto"/>
    </w:pPr>
    <w:rPr>
      <w:sz w:val="20"/>
      <w:szCs w:val="20"/>
    </w:rPr>
  </w:style>
  <w:style w:type="character" w:customStyle="1" w:styleId="CommentTextChar">
    <w:name w:val="Comment Text Char"/>
    <w:basedOn w:val="DefaultParagraphFont"/>
    <w:link w:val="CommentText"/>
    <w:uiPriority w:val="99"/>
    <w:semiHidden/>
    <w:rsid w:val="00A93AD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93AD6"/>
    <w:rPr>
      <w:b/>
      <w:bCs/>
    </w:rPr>
  </w:style>
  <w:style w:type="character" w:customStyle="1" w:styleId="CommentSubjectChar">
    <w:name w:val="Comment Subject Char"/>
    <w:basedOn w:val="CommentTextChar"/>
    <w:link w:val="CommentSubject"/>
    <w:uiPriority w:val="99"/>
    <w:semiHidden/>
    <w:rsid w:val="00A93AD6"/>
    <w:rPr>
      <w:rFonts w:ascii="Arial" w:eastAsia="Arial" w:hAnsi="Arial" w:cs="Arial"/>
      <w:b/>
      <w:bCs/>
      <w:color w:val="000000"/>
      <w:sz w:val="20"/>
      <w:szCs w:val="20"/>
    </w:rPr>
  </w:style>
  <w:style w:type="character" w:customStyle="1" w:styleId="ListParagraphChar">
    <w:name w:val="List Paragraph Char"/>
    <w:basedOn w:val="DefaultParagraphFont"/>
    <w:link w:val="ListParagraph"/>
    <w:uiPriority w:val="34"/>
    <w:rsid w:val="00513359"/>
    <w:rPr>
      <w:rFonts w:ascii="Arial" w:eastAsia="Arial" w:hAnsi="Arial" w:cs="Arial"/>
      <w:color w:val="000000"/>
    </w:rPr>
  </w:style>
  <w:style w:type="character" w:styleId="FollowedHyperlink">
    <w:name w:val="FollowedHyperlink"/>
    <w:basedOn w:val="DefaultParagraphFont"/>
    <w:uiPriority w:val="99"/>
    <w:semiHidden/>
    <w:unhideWhenUsed/>
    <w:rsid w:val="00EF2772"/>
    <w:rPr>
      <w:color w:val="954F72" w:themeColor="followedHyperlink"/>
      <w:u w:val="single"/>
    </w:rPr>
  </w:style>
  <w:style w:type="paragraph" w:styleId="Header">
    <w:name w:val="header"/>
    <w:basedOn w:val="Normal"/>
    <w:link w:val="HeaderChar"/>
    <w:uiPriority w:val="99"/>
    <w:unhideWhenUsed/>
    <w:rsid w:val="003C1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241"/>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91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itishcouncil.org/new/euraxess/euraxess-living/euraxess-living-entry-regulations/" TargetMode="External"/><Relationship Id="rId18" Type="http://schemas.openxmlformats.org/officeDocument/2006/relationships/hyperlink" Target="http://www.britishcouncil.org/new/euraxess/euraxess-living/euraxess-living-entry-regulations/" TargetMode="External"/><Relationship Id="rId26" Type="http://schemas.openxmlformats.org/officeDocument/2006/relationships/hyperlink" Target="http://www.britishcouncil.org/sites/britishcouncil.uk2/files/application_form_for_newton_researcher_links_travel_grants.docx"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britishcouncil.org/new/euraxess/euraxess-living/euraxess-living-entry-regulations/" TargetMode="External"/><Relationship Id="rId34" Type="http://schemas.openxmlformats.org/officeDocument/2006/relationships/hyperlink" Target="http://www.britishcouncil.org/home-data-protection.htm)" TargetMode="External"/><Relationship Id="rId42" Type="http://schemas.openxmlformats.org/officeDocument/2006/relationships/hyperlink" Target="http://ec.europa.eu/euraxess/pdf/research_policies/Towards_a_European_Framework_for_Research_Careers_final.pdf" TargetMode="External"/><Relationship Id="rId47" Type="http://schemas.openxmlformats.org/officeDocument/2006/relationships/footer" Target="footer8.xml"/><Relationship Id="rId50"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yperlink" Target="http://www.britishcouncil.org/education/science/newton/" TargetMode="External"/><Relationship Id="rId17" Type="http://schemas.openxmlformats.org/officeDocument/2006/relationships/hyperlink" Target="http://www.britishcouncil.org/new/euraxess/euraxess-living/euraxess-living-entry-regulations/" TargetMode="External"/><Relationship Id="rId25" Type="http://schemas.openxmlformats.org/officeDocument/2006/relationships/hyperlink" Target="https://britishcouncil-cxobw.formstack.com/forms/application_form_rl_tg_april2015" TargetMode="External"/><Relationship Id="rId33" Type="http://schemas.openxmlformats.org/officeDocument/2006/relationships/hyperlink" Target="http://www.britishcouncil.org/home-data-protection.htm)" TargetMode="External"/><Relationship Id="rId38" Type="http://schemas.openxmlformats.org/officeDocument/2006/relationships/footer" Target="footer2.xml"/><Relationship Id="rId46"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britishcouncil.org/new/euraxess/euraxess-living/euraxess-living-entry-regulations/" TargetMode="External"/><Relationship Id="rId20" Type="http://schemas.openxmlformats.org/officeDocument/2006/relationships/hyperlink" Target="http://www.britishcouncil.org/new/euraxess/euraxess-living/euraxess-living-entry-regulations/" TargetMode="External"/><Relationship Id="rId29" Type="http://schemas.openxmlformats.org/officeDocument/2006/relationships/hyperlink" Target="http://www.britishcouncil.org/home-data-protection.htm)" TargetMode="External"/><Relationship Id="rId41" Type="http://schemas.openxmlformats.org/officeDocument/2006/relationships/hyperlink" Target="http://ec.europa.eu/euraxess/pdf/research_policies/Towards_a_European_Framework_for_Research_Careers_fina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itishcouncil.org/education/science/newton/" TargetMode="External"/><Relationship Id="rId24" Type="http://schemas.openxmlformats.org/officeDocument/2006/relationships/hyperlink" Target="mailto:UK-ResearcherLinks@britishcouncil.org" TargetMode="External"/><Relationship Id="rId32" Type="http://schemas.openxmlformats.org/officeDocument/2006/relationships/hyperlink" Target="http://www.britishcouncil.org/home-data-protection.htm)" TargetMode="External"/><Relationship Id="rId37" Type="http://schemas.openxmlformats.org/officeDocument/2006/relationships/footer" Target="footer1.xml"/><Relationship Id="rId40" Type="http://schemas.openxmlformats.org/officeDocument/2006/relationships/hyperlink" Target="http://ec.europa.eu/euraxess/pdf/research_policies/Towards_a_European_Framework_for_Research_Careers_final.pdf" TargetMode="External"/><Relationship Id="rId45" Type="http://schemas.openxmlformats.org/officeDocument/2006/relationships/footer" Target="footer6.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ritishcouncil.org/new/euraxess/euraxess-living/euraxess-living-entry-regulations/" TargetMode="External"/><Relationship Id="rId23" Type="http://schemas.openxmlformats.org/officeDocument/2006/relationships/hyperlink" Target="http://www.rcuk.ac.uk/Publications/researchers/grc/" TargetMode="External"/><Relationship Id="rId28" Type="http://schemas.openxmlformats.org/officeDocument/2006/relationships/hyperlink" Target="http://www.britishcouncil.org/home-data-protection.htm)" TargetMode="External"/><Relationship Id="rId36" Type="http://schemas.openxmlformats.org/officeDocument/2006/relationships/hyperlink" Target="mailto:UK-ResearcherLinks@britishcouncil.org" TargetMode="External"/><Relationship Id="rId49" Type="http://schemas.openxmlformats.org/officeDocument/2006/relationships/footer" Target="footer10.xml"/><Relationship Id="rId10" Type="http://schemas.openxmlformats.org/officeDocument/2006/relationships/image" Target="media/image2.jpg"/><Relationship Id="rId19" Type="http://schemas.openxmlformats.org/officeDocument/2006/relationships/hyperlink" Target="http://www.britishcouncil.org/new/euraxess/euraxess-living/euraxess-living-entry-regulations/" TargetMode="External"/><Relationship Id="rId31" Type="http://schemas.openxmlformats.org/officeDocument/2006/relationships/hyperlink" Target="http://www.britishcouncil.org/home-data-protection.htm)" TargetMode="External"/><Relationship Id="rId44" Type="http://schemas.openxmlformats.org/officeDocument/2006/relationships/footer" Target="footer5.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britishcouncil.org/new/euraxess/euraxess-living/euraxess-living-entry-regulations/" TargetMode="External"/><Relationship Id="rId22" Type="http://schemas.openxmlformats.org/officeDocument/2006/relationships/hyperlink" Target="http://www.britishcouncil.org/new/euraxess/euraxess-living/euraxess-living-entry-regulations/" TargetMode="External"/><Relationship Id="rId27" Type="http://schemas.openxmlformats.org/officeDocument/2006/relationships/hyperlink" Target="mailto:UK-ResearcherLinks@britishcouncil.org" TargetMode="External"/><Relationship Id="rId30" Type="http://schemas.openxmlformats.org/officeDocument/2006/relationships/hyperlink" Target="http://www.britishcouncil.org/home-data-protection.htm)" TargetMode="External"/><Relationship Id="rId35" Type="http://schemas.openxmlformats.org/officeDocument/2006/relationships/hyperlink" Target="http://www.britishcouncil.org/home-data-protection.htm)" TargetMode="External"/><Relationship Id="rId43" Type="http://schemas.openxmlformats.org/officeDocument/2006/relationships/footer" Target="footer4.xml"/><Relationship Id="rId48" Type="http://schemas.openxmlformats.org/officeDocument/2006/relationships/footer" Target="footer9.xml"/><Relationship Id="rId8" Type="http://schemas.openxmlformats.org/officeDocument/2006/relationships/endnotes" Target="endnotes.xml"/><Relationship Id="rId51"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8BAD2-3759-4F6D-8E9E-553A7AA7D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5070</Words>
  <Characters>28904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TRAVEL GRANT GUIDELINES DRAFT</vt:lpstr>
    </vt:vector>
  </TitlesOfParts>
  <Company>British Council</Company>
  <LinksUpToDate>false</LinksUpToDate>
  <CharactersWithSpaces>33907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GRANT GUIDELINES DRAFT</dc:title>
  <dc:creator>Chloe Somers</dc:creator>
  <cp:lastModifiedBy>Barnes-Christian, Caleb (Education &amp; Society)</cp:lastModifiedBy>
  <cp:revision>13</cp:revision>
  <cp:lastPrinted>2015-04-23T10:06:00Z</cp:lastPrinted>
  <dcterms:created xsi:type="dcterms:W3CDTF">2015-04-24T14:37:00Z</dcterms:created>
  <dcterms:modified xsi:type="dcterms:W3CDTF">2015-04-28T09:40:00Z</dcterms:modified>
</cp:coreProperties>
</file>